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F5" w:rsidRPr="00D766FA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Pr="00D766FA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Pr="00D766FA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Pr="00D766FA" w:rsidRDefault="003346F5" w:rsidP="003346F5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346F5" w:rsidRPr="00D766FA" w:rsidRDefault="003346F5" w:rsidP="003346F5">
      <w:pPr>
        <w:ind w:left="2835"/>
        <w:jc w:val="right"/>
        <w:rPr>
          <w:b/>
          <w:color w:val="000000"/>
          <w:sz w:val="32"/>
          <w:szCs w:val="32"/>
        </w:rPr>
      </w:pPr>
    </w:p>
    <w:p w:rsidR="003346F5" w:rsidRPr="003346F5" w:rsidRDefault="003346F5" w:rsidP="003346F5">
      <w:pPr>
        <w:jc w:val="center"/>
        <w:rPr>
          <w:b/>
          <w:sz w:val="40"/>
          <w:szCs w:val="40"/>
          <w:lang w:val="es-AR"/>
        </w:rPr>
      </w:pPr>
      <w:r w:rsidRPr="003346F5">
        <w:rPr>
          <w:b/>
          <w:sz w:val="40"/>
          <w:szCs w:val="40"/>
          <w:lang w:val="es-AR"/>
        </w:rPr>
        <w:t>PPP Transmisión Eléctrica</w:t>
      </w:r>
    </w:p>
    <w:p w:rsidR="003346F5" w:rsidRPr="003346F5" w:rsidRDefault="003346F5" w:rsidP="003346F5">
      <w:pPr>
        <w:jc w:val="center"/>
        <w:rPr>
          <w:b/>
          <w:sz w:val="28"/>
          <w:szCs w:val="28"/>
          <w:lang w:val="es-AR"/>
        </w:rPr>
      </w:pPr>
    </w:p>
    <w:p w:rsidR="003346F5" w:rsidRPr="003346F5" w:rsidRDefault="003346F5" w:rsidP="003346F5">
      <w:pPr>
        <w:jc w:val="center"/>
        <w:rPr>
          <w:b/>
          <w:sz w:val="36"/>
          <w:szCs w:val="36"/>
          <w:lang w:val="es-AR"/>
        </w:rPr>
      </w:pPr>
      <w:r w:rsidRPr="003346F5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3346F5">
        <w:rPr>
          <w:b/>
          <w:sz w:val="36"/>
          <w:szCs w:val="36"/>
          <w:lang w:val="es-AR"/>
        </w:rPr>
        <w:t>kV</w:t>
      </w:r>
      <w:proofErr w:type="spellEnd"/>
    </w:p>
    <w:p w:rsidR="003346F5" w:rsidRPr="003346F5" w:rsidRDefault="003346F5" w:rsidP="003346F5">
      <w:pPr>
        <w:jc w:val="center"/>
        <w:rPr>
          <w:b/>
          <w:sz w:val="36"/>
          <w:szCs w:val="36"/>
          <w:lang w:val="es-AR"/>
        </w:rPr>
      </w:pPr>
      <w:r w:rsidRPr="003346F5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3346F5">
        <w:rPr>
          <w:b/>
          <w:sz w:val="36"/>
          <w:szCs w:val="36"/>
          <w:lang w:val="es-AR"/>
        </w:rPr>
        <w:t>Charlone</w:t>
      </w:r>
      <w:proofErr w:type="spellEnd"/>
      <w:r w:rsidRPr="003346F5">
        <w:rPr>
          <w:b/>
          <w:sz w:val="36"/>
          <w:szCs w:val="36"/>
          <w:lang w:val="es-AR"/>
        </w:rPr>
        <w:t>,</w:t>
      </w:r>
    </w:p>
    <w:p w:rsidR="003346F5" w:rsidRPr="003346F5" w:rsidRDefault="003346F5" w:rsidP="003346F5">
      <w:pPr>
        <w:jc w:val="center"/>
        <w:rPr>
          <w:b/>
          <w:sz w:val="36"/>
          <w:szCs w:val="36"/>
          <w:lang w:val="es-AR"/>
        </w:rPr>
      </w:pPr>
      <w:r w:rsidRPr="003346F5">
        <w:rPr>
          <w:b/>
          <w:sz w:val="36"/>
          <w:szCs w:val="36"/>
          <w:lang w:val="es-AR"/>
        </w:rPr>
        <w:t>Estaciones Transformadoras y</w:t>
      </w:r>
    </w:p>
    <w:p w:rsidR="003346F5" w:rsidRPr="003346F5" w:rsidRDefault="003346F5" w:rsidP="003346F5">
      <w:pPr>
        <w:jc w:val="center"/>
        <w:rPr>
          <w:b/>
          <w:sz w:val="36"/>
          <w:szCs w:val="36"/>
          <w:lang w:val="es-AR"/>
        </w:rPr>
      </w:pPr>
      <w:r w:rsidRPr="003346F5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3346F5">
        <w:rPr>
          <w:b/>
          <w:sz w:val="36"/>
          <w:szCs w:val="36"/>
          <w:lang w:val="es-AR"/>
        </w:rPr>
        <w:t>kV</w:t>
      </w:r>
      <w:proofErr w:type="spellEnd"/>
    </w:p>
    <w:p w:rsidR="003346F5" w:rsidRPr="003346F5" w:rsidRDefault="003346F5" w:rsidP="003346F5">
      <w:pPr>
        <w:jc w:val="center"/>
        <w:rPr>
          <w:b/>
          <w:sz w:val="36"/>
          <w:szCs w:val="36"/>
          <w:lang w:val="es-ES"/>
        </w:rPr>
      </w:pPr>
    </w:p>
    <w:p w:rsidR="003346F5" w:rsidRPr="003346F5" w:rsidRDefault="003346F5" w:rsidP="003346F5">
      <w:pPr>
        <w:jc w:val="center"/>
        <w:rPr>
          <w:b/>
          <w:sz w:val="36"/>
          <w:szCs w:val="36"/>
          <w:lang w:val="es-ES"/>
        </w:rPr>
      </w:pPr>
    </w:p>
    <w:p w:rsidR="003346F5" w:rsidRPr="003346F5" w:rsidRDefault="003346F5" w:rsidP="003346F5">
      <w:pPr>
        <w:jc w:val="center"/>
        <w:rPr>
          <w:b/>
          <w:sz w:val="36"/>
          <w:szCs w:val="36"/>
          <w:lang w:val="es-ES"/>
        </w:rPr>
      </w:pPr>
      <w:r w:rsidRPr="003346F5">
        <w:rPr>
          <w:b/>
          <w:sz w:val="36"/>
          <w:szCs w:val="36"/>
          <w:lang w:val="es-ES"/>
        </w:rPr>
        <w:t>Pliego de Bases y Condiciones</w:t>
      </w:r>
    </w:p>
    <w:p w:rsidR="003346F5" w:rsidRDefault="003346F5" w:rsidP="003346F5">
      <w:pPr>
        <w:jc w:val="center"/>
        <w:rPr>
          <w:sz w:val="36"/>
          <w:szCs w:val="36"/>
          <w:lang w:val="es-ES"/>
        </w:rPr>
      </w:pPr>
    </w:p>
    <w:p w:rsidR="003346F5" w:rsidRDefault="003346F5" w:rsidP="003346F5">
      <w:pPr>
        <w:jc w:val="center"/>
        <w:rPr>
          <w:sz w:val="36"/>
          <w:szCs w:val="36"/>
          <w:lang w:val="es-ES"/>
        </w:rPr>
      </w:pPr>
    </w:p>
    <w:p w:rsidR="003346F5" w:rsidRPr="003346F5" w:rsidRDefault="003346F5" w:rsidP="003346F5">
      <w:pPr>
        <w:jc w:val="center"/>
        <w:rPr>
          <w:sz w:val="36"/>
          <w:szCs w:val="36"/>
          <w:lang w:val="es-ES"/>
        </w:rPr>
      </w:pPr>
    </w:p>
    <w:p w:rsidR="003346F5" w:rsidRPr="003346F5" w:rsidRDefault="003346F5" w:rsidP="003346F5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7600EE" w:rsidRPr="003346F5" w:rsidTr="00B95581">
        <w:trPr>
          <w:trHeight w:val="1040"/>
        </w:trPr>
        <w:tc>
          <w:tcPr>
            <w:tcW w:w="9089" w:type="dxa"/>
            <w:shd w:val="clear" w:color="auto" w:fill="auto"/>
          </w:tcPr>
          <w:p w:rsidR="007600EE" w:rsidRPr="003346F5" w:rsidRDefault="007600EE" w:rsidP="003346F5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3346F5" w:rsidRPr="003346F5" w:rsidRDefault="003346F5" w:rsidP="003346F5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7600EE" w:rsidRPr="003346F5" w:rsidRDefault="003346F5" w:rsidP="003346F5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7600EE" w:rsidRPr="003346F5" w:rsidRDefault="007600EE" w:rsidP="00B95581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3346F5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N VIII h</w:t>
            </w:r>
            <w:r w:rsidR="003346F5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7600EE" w:rsidRPr="00C472F0" w:rsidRDefault="007600EE" w:rsidP="003346F5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3346F5">
              <w:rPr>
                <w:rFonts w:cs="Arial"/>
                <w:b/>
                <w:sz w:val="24"/>
                <w:szCs w:val="24"/>
                <w:lang w:val="es-AR"/>
              </w:rPr>
              <w:t>E.T. Nº 12 BALIZAMIENTO DIURNO Y NOCTURNO</w:t>
            </w:r>
          </w:p>
        </w:tc>
      </w:tr>
    </w:tbl>
    <w:p w:rsidR="007600EE" w:rsidRPr="00966792" w:rsidRDefault="007600EE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600EE" w:rsidRDefault="007600EE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346F5" w:rsidRDefault="003346F5" w:rsidP="007600EE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600EE" w:rsidRPr="00C67E5F" w:rsidRDefault="007600EE" w:rsidP="007600EE">
      <w:pPr>
        <w:rPr>
          <w:lang w:val="es-AR"/>
        </w:rPr>
      </w:pPr>
    </w:p>
    <w:p w:rsidR="007600EE" w:rsidRPr="00C67E5F" w:rsidRDefault="007600EE" w:rsidP="007600EE">
      <w:pPr>
        <w:rPr>
          <w:lang w:val="es-AR"/>
        </w:rPr>
      </w:pPr>
      <w:r w:rsidRPr="00C67E5F">
        <w:rPr>
          <w:lang w:val="es-AR"/>
        </w:rPr>
        <w:br w:type="page"/>
      </w:r>
    </w:p>
    <w:p w:rsidR="003030C6" w:rsidRDefault="003030C6" w:rsidP="003030C6">
      <w:pPr>
        <w:widowControl w:val="0"/>
        <w:tabs>
          <w:tab w:val="left" w:pos="-1440"/>
          <w:tab w:val="left" w:pos="-720"/>
        </w:tabs>
        <w:rPr>
          <w:b/>
          <w:spacing w:val="-2"/>
          <w:sz w:val="24"/>
          <w:szCs w:val="24"/>
          <w:u w:val="single"/>
          <w:lang w:val="es-AR"/>
        </w:rPr>
      </w:pPr>
    </w:p>
    <w:p w:rsidR="00C273BD" w:rsidRPr="00C273BD" w:rsidRDefault="00C273BD" w:rsidP="00F33694">
      <w:pPr>
        <w:jc w:val="center"/>
        <w:rPr>
          <w:b/>
          <w:u w:val="single"/>
          <w:lang w:val="es-ES"/>
        </w:rPr>
      </w:pPr>
      <w:r w:rsidRPr="00C273BD">
        <w:rPr>
          <w:b/>
          <w:u w:val="single"/>
          <w:lang w:val="es-ES"/>
        </w:rPr>
        <w:t>ÍNDICE</w:t>
      </w:r>
    </w:p>
    <w:p w:rsidR="00C273BD" w:rsidRPr="00013692" w:rsidRDefault="00C273BD" w:rsidP="00C273BD">
      <w:pPr>
        <w:rPr>
          <w:sz w:val="22"/>
          <w:szCs w:val="22"/>
          <w:u w:val="single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jc w:val="both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1.</w:t>
      </w:r>
      <w:r w:rsidRPr="00013692">
        <w:rPr>
          <w:rFonts w:cs="Arial"/>
          <w:b/>
          <w:sz w:val="22"/>
          <w:szCs w:val="22"/>
          <w:lang w:val="es-ES"/>
        </w:rPr>
        <w:tab/>
        <w:t>OBJETO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jc w:val="both"/>
        <w:rPr>
          <w:rFonts w:cs="Arial"/>
          <w:b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2.</w:t>
      </w:r>
      <w:r w:rsidRPr="00013692">
        <w:rPr>
          <w:rFonts w:cs="Arial"/>
          <w:b/>
          <w:sz w:val="22"/>
          <w:szCs w:val="22"/>
          <w:lang w:val="es-ES"/>
        </w:rPr>
        <w:tab/>
        <w:t>GENERALIDADES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3.</w:t>
      </w:r>
      <w:r w:rsidRPr="00013692">
        <w:rPr>
          <w:rFonts w:cs="Arial"/>
          <w:b/>
          <w:sz w:val="22"/>
          <w:szCs w:val="22"/>
          <w:lang w:val="es-ES"/>
        </w:rPr>
        <w:tab/>
        <w:t>ALCANCE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4.</w:t>
      </w:r>
      <w:r w:rsidRPr="00013692">
        <w:rPr>
          <w:rFonts w:cs="Arial"/>
          <w:b/>
          <w:sz w:val="22"/>
          <w:szCs w:val="22"/>
          <w:lang w:val="es-ES"/>
        </w:rPr>
        <w:tab/>
        <w:t>NORMAS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5.</w:t>
      </w:r>
      <w:r w:rsidRPr="00013692">
        <w:rPr>
          <w:rFonts w:cs="Arial"/>
          <w:b/>
          <w:sz w:val="22"/>
          <w:szCs w:val="22"/>
          <w:lang w:val="es-ES"/>
        </w:rPr>
        <w:tab/>
        <w:t>PROYECTO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5.1.</w:t>
      </w:r>
      <w:r w:rsidRPr="00013692">
        <w:rPr>
          <w:rFonts w:cs="Arial"/>
          <w:sz w:val="22"/>
          <w:szCs w:val="22"/>
          <w:lang w:val="es-ES"/>
        </w:rPr>
        <w:tab/>
        <w:t xml:space="preserve">Balizamiento Diurno 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3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5.1.1</w:t>
      </w:r>
      <w:r w:rsidRPr="00013692">
        <w:rPr>
          <w:rFonts w:cs="Arial"/>
          <w:sz w:val="22"/>
          <w:szCs w:val="22"/>
          <w:lang w:val="es-ES"/>
        </w:rPr>
        <w:tab/>
        <w:t>De los cables de guardia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5.1.2</w:t>
      </w:r>
      <w:r w:rsidRPr="00013692">
        <w:rPr>
          <w:rFonts w:cs="Arial"/>
          <w:sz w:val="22"/>
          <w:szCs w:val="22"/>
          <w:lang w:val="es-ES"/>
        </w:rPr>
        <w:tab/>
        <w:t xml:space="preserve">De las estructuras 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013692">
        <w:rPr>
          <w:rFonts w:cs="Arial"/>
          <w:caps/>
          <w:sz w:val="22"/>
          <w:szCs w:val="22"/>
          <w:lang w:val="es-ES"/>
        </w:rPr>
        <w:t>5.2.</w:t>
      </w:r>
      <w:r w:rsidRPr="00013692">
        <w:rPr>
          <w:rFonts w:cs="Arial"/>
          <w:caps/>
          <w:sz w:val="22"/>
          <w:szCs w:val="22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Balizamiento Nocturno</w:t>
      </w:r>
      <w:r w:rsidRPr="00013692">
        <w:rPr>
          <w:rFonts w:cs="Arial"/>
          <w:caps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5.2.1</w:t>
      </w:r>
      <w:r w:rsidRPr="00013692">
        <w:rPr>
          <w:rFonts w:cs="Arial"/>
          <w:sz w:val="22"/>
          <w:szCs w:val="22"/>
          <w:lang w:val="es-ES"/>
        </w:rPr>
        <w:tab/>
        <w:t>De las estructuras de suspensión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5.2.2</w:t>
      </w:r>
      <w:r w:rsidRPr="00013692">
        <w:rPr>
          <w:rFonts w:cs="Arial"/>
          <w:sz w:val="22"/>
          <w:szCs w:val="22"/>
          <w:lang w:val="es-ES"/>
        </w:rPr>
        <w:tab/>
        <w:t>De los Conductores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4</w:t>
      </w:r>
      <w:r w:rsidRPr="00013692">
        <w:rPr>
          <w:rFonts w:cs="Arial"/>
          <w:sz w:val="22"/>
          <w:szCs w:val="22"/>
          <w:lang w:val="es-ES"/>
        </w:rPr>
        <w:tab/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6.</w:t>
      </w:r>
      <w:r w:rsidRPr="00013692">
        <w:rPr>
          <w:rFonts w:cs="Arial"/>
          <w:b/>
          <w:sz w:val="22"/>
          <w:szCs w:val="22"/>
          <w:lang w:val="es-ES"/>
        </w:rPr>
        <w:tab/>
        <w:t>PROVISION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="00BD54A8">
        <w:rPr>
          <w:rFonts w:cs="Arial"/>
          <w:b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6.1.</w:t>
      </w:r>
      <w:r w:rsidRPr="00013692">
        <w:rPr>
          <w:rFonts w:cs="Arial"/>
          <w:sz w:val="22"/>
          <w:szCs w:val="22"/>
          <w:lang w:val="es-ES"/>
        </w:rPr>
        <w:tab/>
        <w:t>Balizamiento Diurno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6.1.1</w:t>
      </w:r>
      <w:r w:rsidRPr="00013692">
        <w:rPr>
          <w:rFonts w:cs="Arial"/>
          <w:sz w:val="22"/>
          <w:szCs w:val="22"/>
          <w:lang w:val="es-ES"/>
        </w:rPr>
        <w:tab/>
        <w:t>De los cables de guardia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4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6.1.2</w:t>
      </w:r>
      <w:r w:rsidRPr="00013692">
        <w:rPr>
          <w:rFonts w:cs="Arial"/>
          <w:sz w:val="22"/>
          <w:szCs w:val="22"/>
          <w:lang w:val="es-ES"/>
        </w:rPr>
        <w:tab/>
        <w:t>De las estructuras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5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6.2.</w:t>
      </w:r>
      <w:r w:rsidRPr="00013692">
        <w:rPr>
          <w:rFonts w:cs="Arial"/>
          <w:sz w:val="22"/>
          <w:szCs w:val="22"/>
          <w:lang w:val="es-ES"/>
        </w:rPr>
        <w:tab/>
        <w:t>Balizamiento Nocturno</w:t>
      </w:r>
      <w:r w:rsidRPr="00013692">
        <w:rPr>
          <w:rFonts w:cs="Arial"/>
          <w:caps/>
          <w:sz w:val="22"/>
          <w:szCs w:val="22"/>
          <w:lang w:val="es-ES"/>
        </w:rPr>
        <w:t xml:space="preserve"> </w:t>
      </w:r>
      <w:r w:rsidRPr="00013692">
        <w:rPr>
          <w:rFonts w:cs="Arial"/>
          <w:caps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5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6.2.1</w:t>
      </w:r>
      <w:r w:rsidRPr="00013692">
        <w:rPr>
          <w:rFonts w:cs="Arial"/>
          <w:sz w:val="22"/>
          <w:szCs w:val="22"/>
          <w:lang w:val="es-ES"/>
        </w:rPr>
        <w:tab/>
        <w:t>De las estructuras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5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6.2.2</w:t>
      </w:r>
      <w:r w:rsidRPr="00013692">
        <w:rPr>
          <w:rFonts w:cs="Arial"/>
          <w:sz w:val="22"/>
          <w:szCs w:val="22"/>
          <w:lang w:val="es-ES"/>
        </w:rPr>
        <w:tab/>
        <w:t>De los Conductores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5</w:t>
      </w:r>
    </w:p>
    <w:p w:rsidR="00C273BD" w:rsidRPr="00BD54A8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C273BD" w:rsidRPr="00BD54A8" w:rsidRDefault="00C273BD" w:rsidP="00C273BD">
      <w:pPr>
        <w:pStyle w:val="Ttulo3"/>
        <w:tabs>
          <w:tab w:val="left" w:pos="284"/>
          <w:tab w:val="left" w:pos="7526"/>
        </w:tabs>
        <w:ind w:left="0" w:right="-22"/>
        <w:rPr>
          <w:rFonts w:ascii="Arial" w:hAnsi="Arial" w:cs="Arial"/>
          <w:sz w:val="22"/>
          <w:szCs w:val="22"/>
          <w:u w:val="dotted"/>
          <w:lang w:val="es-ES"/>
        </w:rPr>
      </w:pPr>
      <w:r w:rsidRPr="00BD54A8">
        <w:rPr>
          <w:rFonts w:ascii="Arial" w:hAnsi="Arial" w:cs="Arial"/>
          <w:caps/>
          <w:sz w:val="22"/>
          <w:szCs w:val="22"/>
          <w:lang w:val="es-ES"/>
        </w:rPr>
        <w:t>7</w:t>
      </w:r>
      <w:r w:rsidRPr="00BD54A8">
        <w:rPr>
          <w:rFonts w:ascii="Arial" w:hAnsi="Arial" w:cs="Arial"/>
          <w:caps/>
          <w:sz w:val="22"/>
          <w:szCs w:val="22"/>
          <w:lang w:val="es-ES"/>
        </w:rPr>
        <w:tab/>
        <w:t>MONTAJE</w:t>
      </w:r>
      <w:r w:rsidRPr="00BD54A8">
        <w:rPr>
          <w:rFonts w:ascii="Arial" w:hAnsi="Arial" w:cs="Arial"/>
          <w:caps/>
          <w:sz w:val="22"/>
          <w:szCs w:val="22"/>
          <w:u w:val="dotted"/>
          <w:lang w:val="es-ES"/>
        </w:rPr>
        <w:tab/>
      </w:r>
      <w:r w:rsidR="00BD54A8" w:rsidRPr="00BD54A8">
        <w:rPr>
          <w:rFonts w:ascii="Arial" w:hAnsi="Arial" w:cs="Arial"/>
          <w:sz w:val="22"/>
          <w:szCs w:val="22"/>
          <w:u w:val="dotted"/>
          <w:lang w:val="es-ES"/>
        </w:rPr>
        <w:t>5</w:t>
      </w:r>
    </w:p>
    <w:p w:rsidR="00C273BD" w:rsidRPr="00BD54A8" w:rsidRDefault="00C273BD" w:rsidP="00C273BD">
      <w:pPr>
        <w:tabs>
          <w:tab w:val="left" w:pos="284"/>
          <w:tab w:val="left" w:pos="7526"/>
        </w:tabs>
        <w:ind w:left="709" w:right="-22" w:hanging="567"/>
        <w:rPr>
          <w:rFonts w:cs="Arial"/>
          <w:caps/>
          <w:sz w:val="22"/>
          <w:szCs w:val="22"/>
          <w:lang w:val="es-ES"/>
        </w:rPr>
      </w:pPr>
      <w:r w:rsidRPr="00BD54A8">
        <w:rPr>
          <w:rFonts w:cs="Arial"/>
          <w:sz w:val="22"/>
          <w:szCs w:val="22"/>
          <w:lang w:val="es-ES"/>
        </w:rPr>
        <w:t>7.1.</w:t>
      </w:r>
      <w:r w:rsidRPr="00BD54A8">
        <w:rPr>
          <w:rFonts w:cs="Arial"/>
          <w:sz w:val="22"/>
          <w:szCs w:val="22"/>
          <w:lang w:val="es-ES"/>
        </w:rPr>
        <w:tab/>
      </w:r>
      <w:r w:rsidRPr="00BD54A8">
        <w:rPr>
          <w:rFonts w:cs="Arial"/>
          <w:sz w:val="22"/>
          <w:szCs w:val="22"/>
          <w:u w:val="dotted"/>
          <w:lang w:val="es-ES"/>
        </w:rPr>
        <w:t>Balizamiento Diurno</w:t>
      </w:r>
      <w:r w:rsidRPr="00BD54A8">
        <w:rPr>
          <w:rFonts w:cs="Arial"/>
          <w:caps/>
          <w:sz w:val="22"/>
          <w:szCs w:val="22"/>
          <w:u w:val="dotted"/>
          <w:lang w:val="es-ES"/>
        </w:rPr>
        <w:tab/>
      </w:r>
      <w:r w:rsidR="00BD54A8" w:rsidRPr="00BD54A8">
        <w:rPr>
          <w:rFonts w:cs="Arial"/>
          <w:sz w:val="22"/>
          <w:szCs w:val="22"/>
          <w:lang w:val="es-ES"/>
        </w:rPr>
        <w:t>5</w:t>
      </w:r>
    </w:p>
    <w:p w:rsidR="00C273BD" w:rsidRPr="00BD54A8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BD54A8">
        <w:rPr>
          <w:rFonts w:cs="Arial"/>
          <w:sz w:val="22"/>
          <w:szCs w:val="22"/>
          <w:lang w:val="es-ES"/>
        </w:rPr>
        <w:t>7.1.1</w:t>
      </w:r>
      <w:r w:rsidRPr="00BD54A8">
        <w:rPr>
          <w:rFonts w:cs="Arial"/>
          <w:sz w:val="22"/>
          <w:szCs w:val="22"/>
          <w:lang w:val="es-ES"/>
        </w:rPr>
        <w:tab/>
        <w:t>De los cables de guardia</w:t>
      </w:r>
      <w:r w:rsidRPr="00BD54A8">
        <w:rPr>
          <w:rFonts w:cs="Arial"/>
          <w:sz w:val="22"/>
          <w:szCs w:val="22"/>
          <w:u w:val="dotted"/>
          <w:lang w:val="es-ES"/>
        </w:rPr>
        <w:tab/>
      </w:r>
      <w:r w:rsidR="00BD54A8" w:rsidRPr="00BD54A8">
        <w:rPr>
          <w:rFonts w:cs="Arial"/>
          <w:sz w:val="22"/>
          <w:szCs w:val="22"/>
          <w:lang w:val="es-ES"/>
        </w:rPr>
        <w:t>5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7.1.2</w:t>
      </w:r>
      <w:r w:rsidRPr="00013692">
        <w:rPr>
          <w:rFonts w:cs="Arial"/>
          <w:sz w:val="22"/>
          <w:szCs w:val="22"/>
          <w:lang w:val="es-ES"/>
        </w:rPr>
        <w:tab/>
        <w:t xml:space="preserve">De las estructuras 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709" w:right="-22" w:hanging="567"/>
        <w:rPr>
          <w:rFonts w:cs="Arial"/>
          <w:caps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7.2.</w:t>
      </w:r>
      <w:r w:rsidRPr="00013692">
        <w:rPr>
          <w:rFonts w:cs="Arial"/>
          <w:sz w:val="22"/>
          <w:szCs w:val="22"/>
          <w:lang w:val="es-ES"/>
        </w:rPr>
        <w:tab/>
        <w:t>Balizamiento Nocturno</w:t>
      </w:r>
      <w:r w:rsidRPr="00013692">
        <w:rPr>
          <w:rFonts w:cs="Arial"/>
          <w:caps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7.2.1</w:t>
      </w:r>
      <w:r w:rsidRPr="00013692">
        <w:rPr>
          <w:rFonts w:cs="Arial"/>
          <w:sz w:val="22"/>
          <w:szCs w:val="22"/>
          <w:lang w:val="es-ES"/>
        </w:rPr>
        <w:tab/>
        <w:t xml:space="preserve">De las estructuras 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7.2.2</w:t>
      </w:r>
      <w:r w:rsidRPr="00013692">
        <w:rPr>
          <w:rFonts w:cs="Arial"/>
          <w:sz w:val="22"/>
          <w:szCs w:val="22"/>
          <w:lang w:val="es-ES"/>
        </w:rPr>
        <w:tab/>
        <w:t>De los Conductores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8.</w:t>
      </w:r>
      <w:r w:rsidRPr="00013692">
        <w:rPr>
          <w:rFonts w:cs="Arial"/>
          <w:b/>
          <w:sz w:val="22"/>
          <w:szCs w:val="22"/>
          <w:lang w:val="es-ES"/>
        </w:rPr>
        <w:tab/>
        <w:t>ENSAYOS DE REMESA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="00BD54A8">
        <w:rPr>
          <w:rFonts w:cs="Arial"/>
          <w:b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8.1.</w:t>
      </w:r>
      <w:r w:rsidRPr="00013692">
        <w:rPr>
          <w:rFonts w:cs="Arial"/>
          <w:sz w:val="22"/>
          <w:szCs w:val="22"/>
          <w:lang w:val="es-ES"/>
        </w:rPr>
        <w:tab/>
        <w:t>Esferas de Aluminio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8.1.1</w:t>
      </w:r>
      <w:r w:rsidRPr="00013692">
        <w:rPr>
          <w:rFonts w:cs="Arial"/>
          <w:sz w:val="22"/>
          <w:szCs w:val="22"/>
          <w:lang w:val="es-ES"/>
        </w:rPr>
        <w:tab/>
        <w:t>Criterios de muestreo y aceptación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="00BD54A8">
        <w:rPr>
          <w:rFonts w:cs="Arial"/>
          <w:sz w:val="22"/>
          <w:szCs w:val="22"/>
          <w:lang w:val="es-ES"/>
        </w:rPr>
        <w:t>6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8.2.</w:t>
      </w:r>
      <w:r w:rsidRPr="00013692">
        <w:rPr>
          <w:rFonts w:cs="Arial"/>
          <w:sz w:val="22"/>
          <w:szCs w:val="22"/>
          <w:lang w:val="es-ES"/>
        </w:rPr>
        <w:tab/>
        <w:t>Pintura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7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013692">
        <w:rPr>
          <w:rFonts w:cs="Arial"/>
          <w:sz w:val="22"/>
          <w:szCs w:val="22"/>
          <w:lang w:val="es-ES"/>
        </w:rPr>
        <w:t>8.3.</w:t>
      </w:r>
      <w:r w:rsidRPr="00013692">
        <w:rPr>
          <w:rFonts w:cs="Arial"/>
          <w:sz w:val="22"/>
          <w:szCs w:val="22"/>
          <w:lang w:val="es-ES"/>
        </w:rPr>
        <w:tab/>
        <w:t>Elementos de Balizamiento Nocturno</w:t>
      </w:r>
      <w:r w:rsidRPr="00013692">
        <w:rPr>
          <w:rFonts w:cs="Arial"/>
          <w:sz w:val="22"/>
          <w:szCs w:val="22"/>
          <w:u w:val="dotted"/>
          <w:lang w:val="es-ES"/>
        </w:rPr>
        <w:tab/>
      </w:r>
      <w:r w:rsidRPr="00013692">
        <w:rPr>
          <w:rFonts w:cs="Arial"/>
          <w:sz w:val="22"/>
          <w:szCs w:val="22"/>
          <w:lang w:val="es-ES"/>
        </w:rPr>
        <w:t>7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sz w:val="22"/>
          <w:szCs w:val="22"/>
          <w:lang w:val="es-ES"/>
        </w:rPr>
      </w:pP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9.</w:t>
      </w:r>
      <w:r w:rsidRPr="00013692">
        <w:rPr>
          <w:rFonts w:cs="Arial"/>
          <w:b/>
          <w:sz w:val="22"/>
          <w:szCs w:val="22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ab/>
        <w:t>ENSAYOS DE RECEPCION DEL BALIZAMIENTO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Pr="00013692">
        <w:rPr>
          <w:rFonts w:cs="Arial"/>
          <w:b/>
          <w:sz w:val="22"/>
          <w:szCs w:val="22"/>
          <w:lang w:val="es-ES"/>
        </w:rPr>
        <w:t>7</w:t>
      </w:r>
    </w:p>
    <w:p w:rsidR="00C273BD" w:rsidRPr="00013692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ab/>
      </w:r>
    </w:p>
    <w:p w:rsidR="00C273BD" w:rsidRDefault="00C273BD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013692">
        <w:rPr>
          <w:rFonts w:cs="Arial"/>
          <w:b/>
          <w:sz w:val="22"/>
          <w:szCs w:val="22"/>
          <w:lang w:val="es-ES"/>
        </w:rPr>
        <w:t>10.</w:t>
      </w:r>
      <w:r w:rsidRPr="00013692">
        <w:rPr>
          <w:rFonts w:cs="Arial"/>
          <w:b/>
          <w:sz w:val="22"/>
          <w:szCs w:val="22"/>
          <w:lang w:val="es-ES"/>
        </w:rPr>
        <w:tab/>
        <w:t>GESTIÓN DE LA CALIDAD</w:t>
      </w:r>
      <w:r w:rsidRPr="00013692">
        <w:rPr>
          <w:rFonts w:cs="Arial"/>
          <w:b/>
          <w:sz w:val="22"/>
          <w:szCs w:val="22"/>
          <w:u w:val="dotted"/>
          <w:lang w:val="es-ES"/>
        </w:rPr>
        <w:tab/>
      </w:r>
      <w:r w:rsidR="00BD54A8">
        <w:rPr>
          <w:rFonts w:cs="Arial"/>
          <w:b/>
          <w:sz w:val="22"/>
          <w:szCs w:val="22"/>
          <w:lang w:val="es-ES"/>
        </w:rPr>
        <w:t>7</w:t>
      </w:r>
    </w:p>
    <w:p w:rsidR="00873037" w:rsidRPr="00873037" w:rsidRDefault="00873037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sz w:val="22"/>
          <w:szCs w:val="22"/>
          <w:lang w:val="es-ES"/>
        </w:rPr>
      </w:pPr>
    </w:p>
    <w:p w:rsidR="00873037" w:rsidRPr="00873037" w:rsidRDefault="00873037" w:rsidP="00C273BD">
      <w:pPr>
        <w:tabs>
          <w:tab w:val="left" w:pos="284"/>
          <w:tab w:val="left" w:pos="7526"/>
        </w:tabs>
        <w:ind w:left="567" w:right="-22" w:hanging="567"/>
        <w:rPr>
          <w:rFonts w:cs="Arial"/>
          <w:sz w:val="22"/>
          <w:szCs w:val="22"/>
          <w:lang w:val="es-ES"/>
        </w:rPr>
      </w:pPr>
    </w:p>
    <w:p w:rsidR="00F33694" w:rsidRDefault="00F33694" w:rsidP="003030C6">
      <w:pPr>
        <w:tabs>
          <w:tab w:val="left" w:pos="7854"/>
        </w:tabs>
        <w:jc w:val="both"/>
        <w:rPr>
          <w:snapToGrid w:val="0"/>
          <w:sz w:val="24"/>
          <w:szCs w:val="24"/>
          <w:lang w:val="es-AR"/>
        </w:rPr>
        <w:sectPr w:rsidR="00F33694" w:rsidSect="003346F5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013692" w:rsidRPr="00BD54A8" w:rsidRDefault="00013692" w:rsidP="00873037">
      <w:pPr>
        <w:pStyle w:val="Textoindependiente2"/>
        <w:spacing w:after="120"/>
        <w:rPr>
          <w:b/>
          <w:snapToGrid w:val="0"/>
          <w:sz w:val="22"/>
          <w:szCs w:val="22"/>
          <w:lang w:val="es-AR"/>
        </w:rPr>
      </w:pPr>
      <w:bookmarkStart w:id="0" w:name="_Toc532845212"/>
      <w:r w:rsidRPr="00BD54A8">
        <w:rPr>
          <w:b/>
          <w:lang w:val="es-ES"/>
        </w:rPr>
        <w:lastRenderedPageBreak/>
        <w:t>1. OBJETO</w:t>
      </w:r>
      <w:bookmarkEnd w:id="0"/>
    </w:p>
    <w:p w:rsidR="00013692" w:rsidRDefault="00013692" w:rsidP="00013692">
      <w:pPr>
        <w:pStyle w:val="TextoArial11"/>
        <w:jc w:val="both"/>
      </w:pPr>
      <w:r>
        <w:t xml:space="preserve">La presente especificación tiene por objeto establecer las Condiciones Técnicas bajo las cuales el </w:t>
      </w:r>
      <w:r w:rsidR="00167AB4">
        <w:t>CONTRATISTA PPP</w:t>
      </w:r>
      <w:r>
        <w:t xml:space="preserve"> podrá desarrollar el proyecto, suministrar los materiales y equipos y montar todos los elementos necesarios para el balizamiento diurno y nocturno (completo) de los tramos de línea y</w:t>
      </w:r>
      <w:r>
        <w:sym w:font="Symbol" w:char="F02F"/>
      </w:r>
      <w:r>
        <w:t>o estructuras que lo requieran.</w:t>
      </w:r>
    </w:p>
    <w:p w:rsidR="00013692" w:rsidRPr="00E77E68" w:rsidRDefault="00013692" w:rsidP="00873037">
      <w:pPr>
        <w:pStyle w:val="Ttulo2"/>
        <w:spacing w:after="120"/>
        <w:rPr>
          <w:lang w:val="es-ES"/>
        </w:rPr>
      </w:pPr>
      <w:bookmarkStart w:id="1" w:name="_Toc532845213"/>
      <w:r w:rsidRPr="00E77E68">
        <w:rPr>
          <w:lang w:val="es-ES"/>
        </w:rPr>
        <w:t>2. GENERALIDADES:</w:t>
      </w:r>
      <w:bookmarkEnd w:id="1"/>
    </w:p>
    <w:p w:rsidR="00013692" w:rsidRDefault="00013692" w:rsidP="00873037">
      <w:pPr>
        <w:pStyle w:val="TextoArial11"/>
        <w:spacing w:after="120"/>
        <w:jc w:val="both"/>
      </w:pPr>
      <w:r>
        <w:t>Los balizamientos consistirán en:</w:t>
      </w:r>
    </w:p>
    <w:p w:rsidR="00013692" w:rsidRDefault="00013692" w:rsidP="00873037">
      <w:pPr>
        <w:pStyle w:val="TextoArial11"/>
        <w:spacing w:after="120"/>
        <w:jc w:val="both"/>
      </w:pPr>
      <w:r>
        <w:tab/>
        <w:t xml:space="preserve">Balizamientos Diurnos: </w:t>
      </w:r>
    </w:p>
    <w:p w:rsidR="00013692" w:rsidRDefault="00013692" w:rsidP="00013692">
      <w:pPr>
        <w:pStyle w:val="TextoArial11"/>
        <w:ind w:left="1418" w:hanging="710"/>
        <w:jc w:val="both"/>
      </w:pPr>
      <w:r>
        <w:t>a)</w:t>
      </w:r>
      <w:r>
        <w:tab/>
        <w:t>Esferas ó globos de señalización metálicos para aviación, en cable de guardia de A°G°.</w:t>
      </w:r>
    </w:p>
    <w:p w:rsidR="00013692" w:rsidRDefault="00013692" w:rsidP="00013692">
      <w:pPr>
        <w:pStyle w:val="TextoArial11"/>
        <w:ind w:left="708"/>
        <w:jc w:val="both"/>
      </w:pPr>
      <w:r>
        <w:t>b)</w:t>
      </w:r>
      <w:r>
        <w:tab/>
        <w:t>Pintado de torres</w:t>
      </w:r>
    </w:p>
    <w:p w:rsidR="00013692" w:rsidRDefault="00013692" w:rsidP="00013692">
      <w:pPr>
        <w:pStyle w:val="TextoArial11"/>
        <w:jc w:val="both"/>
      </w:pPr>
      <w:r>
        <w:t xml:space="preserve"> </w:t>
      </w:r>
    </w:p>
    <w:p w:rsidR="00013692" w:rsidRDefault="00013692" w:rsidP="00873037">
      <w:pPr>
        <w:pStyle w:val="TextoArial11"/>
        <w:spacing w:after="120"/>
        <w:jc w:val="both"/>
      </w:pPr>
      <w:r>
        <w:tab/>
        <w:t>Balizamientos Nocturnos:</w:t>
      </w:r>
    </w:p>
    <w:p w:rsidR="00013692" w:rsidRDefault="00013692" w:rsidP="00013692">
      <w:pPr>
        <w:pStyle w:val="TextoArial11"/>
        <w:ind w:left="708"/>
        <w:jc w:val="both"/>
      </w:pPr>
      <w:r>
        <w:t>a)</w:t>
      </w:r>
      <w:r>
        <w:tab/>
        <w:t>De torres</w:t>
      </w:r>
    </w:p>
    <w:p w:rsidR="00013692" w:rsidRDefault="00013692" w:rsidP="00013692">
      <w:pPr>
        <w:pStyle w:val="TextoArial11"/>
        <w:ind w:left="708"/>
        <w:jc w:val="both"/>
      </w:pPr>
      <w:r>
        <w:t>b)</w:t>
      </w:r>
      <w:r>
        <w:tab/>
        <w:t xml:space="preserve">De los conductores mediante balizas con lámparas de neón o similares </w:t>
      </w:r>
    </w:p>
    <w:p w:rsidR="00013692" w:rsidRPr="00E77E68" w:rsidRDefault="00013692" w:rsidP="00873037">
      <w:pPr>
        <w:pStyle w:val="Ttulo2"/>
        <w:spacing w:after="120"/>
        <w:rPr>
          <w:lang w:val="es-ES"/>
        </w:rPr>
      </w:pPr>
      <w:bookmarkStart w:id="2" w:name="_Toc532845214"/>
      <w:r w:rsidRPr="00E77E68">
        <w:rPr>
          <w:lang w:val="es-ES"/>
        </w:rPr>
        <w:t>3. ALCANCE</w:t>
      </w:r>
      <w:bookmarkEnd w:id="2"/>
    </w:p>
    <w:p w:rsidR="00013692" w:rsidRDefault="00013692" w:rsidP="00873037">
      <w:pPr>
        <w:pStyle w:val="TextoArial11"/>
        <w:spacing w:after="120"/>
        <w:jc w:val="both"/>
      </w:pPr>
      <w:r>
        <w:t xml:space="preserve">El </w:t>
      </w:r>
      <w:r w:rsidR="00167AB4">
        <w:t>CONTRATISTA PPP</w:t>
      </w:r>
      <w:r>
        <w:t xml:space="preserve"> tendrá a su cargo el Proyecto, la Provisión de los elementos, equipos y materiales y el Montaje correspondiente, de los Balizamientos diurnos y nocturnos según lo indicado en el apartado 1 de la presente especificación.</w:t>
      </w:r>
    </w:p>
    <w:p w:rsidR="00013692" w:rsidRDefault="00013692" w:rsidP="00255642">
      <w:pPr>
        <w:pStyle w:val="TextoArial11"/>
        <w:spacing w:before="120"/>
        <w:jc w:val="both"/>
      </w:pPr>
      <w:r>
        <w:t>El proyecto deberá ser aprobado por la Autoridad Aeronáutica correspondiente.</w:t>
      </w:r>
    </w:p>
    <w:p w:rsidR="00013692" w:rsidRPr="00E77E68" w:rsidRDefault="00013692" w:rsidP="00873037">
      <w:pPr>
        <w:pStyle w:val="Ttulo2"/>
        <w:spacing w:after="120"/>
        <w:rPr>
          <w:lang w:val="es-ES"/>
        </w:rPr>
      </w:pPr>
      <w:bookmarkStart w:id="3" w:name="_Toc532845215"/>
      <w:r w:rsidRPr="00E77E68">
        <w:rPr>
          <w:lang w:val="es-ES"/>
        </w:rPr>
        <w:t>4. NORMAS</w:t>
      </w:r>
      <w:bookmarkEnd w:id="3"/>
    </w:p>
    <w:p w:rsidR="00013692" w:rsidRDefault="00013692" w:rsidP="00873037">
      <w:pPr>
        <w:pStyle w:val="TextoArial11"/>
        <w:spacing w:after="120"/>
        <w:jc w:val="both"/>
      </w:pPr>
      <w:r>
        <w:t>Los balizamientos diurnos (Pintado de torres y esferas en cable de guardia) y nocturnos (Balizas eléctricas y lámparas de neón en conductores) deberán proyectarse e instalarse de acuerdo con las siguientes normas:</w:t>
      </w:r>
    </w:p>
    <w:p w:rsidR="00013692" w:rsidRDefault="00013692" w:rsidP="00873037">
      <w:pPr>
        <w:pStyle w:val="TextoArial11"/>
        <w:spacing w:after="120"/>
        <w:jc w:val="both"/>
      </w:pPr>
      <w:r>
        <w:tab/>
        <w:t>De la Fuerza Aérea Argentina — Comando de Regiones Aéreas.</w:t>
      </w:r>
    </w:p>
    <w:p w:rsidR="00013692" w:rsidRDefault="00013692" w:rsidP="00873037">
      <w:pPr>
        <w:pStyle w:val="TextoArial11"/>
        <w:spacing w:after="120"/>
        <w:ind w:left="709" w:hanging="709"/>
        <w:jc w:val="both"/>
      </w:pPr>
      <w:r>
        <w:tab/>
        <w:t>Normas y métodos Recomendados Internacionales —Aeródromos — Anexo 14 al Convenio sobre Aviación Civil Internacional de la OACI.</w:t>
      </w:r>
    </w:p>
    <w:p w:rsidR="00013692" w:rsidRPr="00E77E68" w:rsidRDefault="00013692" w:rsidP="00873037">
      <w:pPr>
        <w:pStyle w:val="Ttulo2"/>
        <w:spacing w:after="120"/>
        <w:rPr>
          <w:lang w:val="es-ES"/>
        </w:rPr>
      </w:pPr>
      <w:bookmarkStart w:id="4" w:name="_Toc532845216"/>
      <w:r w:rsidRPr="00E77E68">
        <w:rPr>
          <w:lang w:val="es-ES"/>
        </w:rPr>
        <w:t>5. PROYECTO</w:t>
      </w:r>
      <w:bookmarkEnd w:id="4"/>
    </w:p>
    <w:p w:rsidR="00013692" w:rsidRDefault="00013692" w:rsidP="00873037">
      <w:pPr>
        <w:pStyle w:val="TextoArial11"/>
        <w:spacing w:after="120"/>
        <w:jc w:val="both"/>
      </w:pPr>
      <w:r>
        <w:t xml:space="preserve">El </w:t>
      </w:r>
      <w:r w:rsidR="00167AB4">
        <w:t>CONTRATISTA PPP</w:t>
      </w:r>
      <w:r>
        <w:t xml:space="preserve"> deberá proyectar las instalaciones del sistema de los balizamientos, su correspondiente alimentación eléctrica y deberá presentar los detalles para conocimiento del </w:t>
      </w:r>
      <w:r w:rsidR="00167AB4">
        <w:t>ENTE CONTRATANTE</w:t>
      </w:r>
      <w:r>
        <w:t xml:space="preserve"> y aprobación por el Comando de Regiones Aéreas.</w:t>
      </w:r>
    </w:p>
    <w:p w:rsidR="00013692" w:rsidRPr="00E41A11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5" w:name="_Toc532845217"/>
      <w:r w:rsidRPr="00E41A11">
        <w:rPr>
          <w:rFonts w:ascii="Arial" w:hAnsi="Arial" w:cs="Arial"/>
          <w:caps/>
          <w:sz w:val="22"/>
          <w:lang w:val="es-ES"/>
        </w:rPr>
        <w:t>5.1 Balizamiento diurno</w:t>
      </w:r>
      <w:bookmarkEnd w:id="5"/>
    </w:p>
    <w:p w:rsidR="00013692" w:rsidRDefault="00013692" w:rsidP="00873037">
      <w:pPr>
        <w:pStyle w:val="TITULO4"/>
      </w:pPr>
      <w:bookmarkStart w:id="6" w:name="_Toc532845218"/>
      <w:r>
        <w:t>5.1.1 Del Cable de guardia de A°G°</w:t>
      </w:r>
      <w:bookmarkEnd w:id="6"/>
    </w:p>
    <w:p w:rsidR="00013692" w:rsidRDefault="00013692" w:rsidP="00013692">
      <w:pPr>
        <w:pStyle w:val="TextoArial11"/>
        <w:jc w:val="both"/>
      </w:pPr>
      <w:r>
        <w:t>Se realizarán mediante esferas ó globos de señalización de aluminio anodizado color rojo para aviación, distanciados aproximadamente 40 m, instaladas sobre el cable de guardia de acero galvanizado.</w:t>
      </w:r>
    </w:p>
    <w:p w:rsidR="00013692" w:rsidRDefault="00013692" w:rsidP="00873037">
      <w:pPr>
        <w:pStyle w:val="TextoArial11"/>
        <w:spacing w:before="120" w:after="120"/>
        <w:jc w:val="both"/>
      </w:pPr>
      <w:r>
        <w:t xml:space="preserve">Las esferas deberán ser aptas para soportar vientos de 180 km/h y estar provistas de los elementos de fijación a los cables de guardia de diámetro 9.15 </w:t>
      </w:r>
      <w:proofErr w:type="spellStart"/>
      <w:r>
        <w:t>mm</w:t>
      </w:r>
      <w:r w:rsidR="00873037">
        <w:t>.</w:t>
      </w:r>
      <w:proofErr w:type="spellEnd"/>
    </w:p>
    <w:p w:rsidR="00013692" w:rsidRDefault="00013692" w:rsidP="00873037">
      <w:pPr>
        <w:pStyle w:val="TITULO4"/>
      </w:pPr>
      <w:bookmarkStart w:id="7" w:name="_Toc532845219"/>
      <w:r>
        <w:t>5.1.2 De las estructuras</w:t>
      </w:r>
      <w:bookmarkEnd w:id="7"/>
      <w:r>
        <w:t xml:space="preserve"> </w:t>
      </w:r>
    </w:p>
    <w:p w:rsidR="00013692" w:rsidRDefault="00013692" w:rsidP="00873037">
      <w:pPr>
        <w:pStyle w:val="TextoArial11"/>
        <w:spacing w:after="120"/>
        <w:jc w:val="both"/>
      </w:pPr>
      <w:r>
        <w:lastRenderedPageBreak/>
        <w:t>Se pintarán las estructuras de suspensión y</w:t>
      </w:r>
      <w:r>
        <w:sym w:font="Symbol" w:char="F02F"/>
      </w:r>
      <w:r>
        <w:t>o retención desde la cúspide hasta la base en franjas cuyo ancho no será menor de 0.50 m ni mayor de 6 m y su número impar, de colores naranja internacional y blanco, debiendo ser las franjas extremas de color naranja internacional.</w:t>
      </w:r>
    </w:p>
    <w:p w:rsidR="00013692" w:rsidRPr="00255642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8" w:name="_Toc532845220"/>
      <w:r w:rsidRPr="00255642">
        <w:rPr>
          <w:rFonts w:ascii="Arial" w:hAnsi="Arial" w:cs="Arial"/>
          <w:caps/>
          <w:sz w:val="22"/>
          <w:lang w:val="es-ES"/>
        </w:rPr>
        <w:t>5.2. Balizamiento nocturno</w:t>
      </w:r>
      <w:bookmarkEnd w:id="8"/>
    </w:p>
    <w:p w:rsidR="00013692" w:rsidRPr="00255642" w:rsidRDefault="00013692" w:rsidP="00873037">
      <w:pPr>
        <w:pStyle w:val="TITULO4"/>
      </w:pPr>
      <w:bookmarkStart w:id="9" w:name="_Toc532845221"/>
      <w:r w:rsidRPr="00255642">
        <w:t>5.2.1 De las estructuras</w:t>
      </w:r>
      <w:bookmarkEnd w:id="9"/>
    </w:p>
    <w:p w:rsidR="00013692" w:rsidRDefault="00013692" w:rsidP="00255642">
      <w:pPr>
        <w:pStyle w:val="TextoArial11"/>
        <w:jc w:val="both"/>
      </w:pPr>
      <w:r>
        <w:t xml:space="preserve">El balizamiento se efectuará empleando balizas operando en corriente alterna 220 V — 50 Hz, si se dispone de alimentación de éstas características. En caso contrario, deberá preverse un sistema alternativo de alimentación con paneles solares cuyas características serán acordadas con la Inspección </w:t>
      </w:r>
      <w:r w:rsidR="00167AB4">
        <w:t xml:space="preserve">Técnica </w:t>
      </w:r>
      <w:r>
        <w:t xml:space="preserve">del </w:t>
      </w:r>
      <w:r w:rsidR="00167AB4">
        <w:t>ENTE CONTRATANTE</w:t>
      </w:r>
      <w:r>
        <w:t>.</w:t>
      </w:r>
    </w:p>
    <w:p w:rsidR="00013692" w:rsidRDefault="00013692" w:rsidP="00255642">
      <w:pPr>
        <w:pStyle w:val="TextoArial11"/>
        <w:spacing w:before="120"/>
        <w:jc w:val="both"/>
      </w:pPr>
      <w:r>
        <w:t>Cada estructura de suspensión llevará dos artefactos dobles con 2 (dos) lámparas de 75 W cada uno en el extremo superior.</w:t>
      </w:r>
    </w:p>
    <w:p w:rsidR="00013692" w:rsidRDefault="00013692" w:rsidP="00255642">
      <w:pPr>
        <w:pStyle w:val="TextoArial11"/>
        <w:spacing w:before="120"/>
        <w:jc w:val="both"/>
      </w:pPr>
      <w:r>
        <w:t>El encendido o apagado del balizamiento se efectuará mediante célula fotoeléctrica, también motivo de provisión en la presente Especificación.</w:t>
      </w:r>
    </w:p>
    <w:p w:rsidR="00013692" w:rsidRDefault="00013692" w:rsidP="00255642">
      <w:pPr>
        <w:pStyle w:val="TextoArial11"/>
        <w:spacing w:before="120"/>
        <w:jc w:val="both"/>
      </w:pPr>
      <w:r>
        <w:t>Las luces deberán permanecer encendidas durante el período nocturno y períodos diurnos de visibilidad reducida (humo, niebla, brumas, polvo en suspensión, etc.) -</w:t>
      </w:r>
    </w:p>
    <w:p w:rsidR="00013692" w:rsidRDefault="00013692" w:rsidP="00255642">
      <w:pPr>
        <w:pStyle w:val="TextoArial11"/>
        <w:spacing w:before="120"/>
        <w:jc w:val="both"/>
      </w:pPr>
      <w:r>
        <w:t>Los cables de conexión entre la caja de distribución y las balizas serán aislados de cobre y deberán ir dentro de caños galvanizados de 25.4 mm de diámetro sujetos a los perfiles de la torre mediante abrazaderas, sin agujerear los perfiles de la misma para no afectar su estabilidad.</w:t>
      </w:r>
    </w:p>
    <w:p w:rsidR="00013692" w:rsidRDefault="00013692" w:rsidP="00873037">
      <w:pPr>
        <w:pStyle w:val="TextoArial11"/>
        <w:spacing w:before="120" w:after="120"/>
        <w:jc w:val="both"/>
      </w:pPr>
      <w:r>
        <w:t>La caja de distribución deberá ser estanca y constará de tablero, interruptores, protecciones, puesta a tierra de seguridad, etc.</w:t>
      </w:r>
    </w:p>
    <w:p w:rsidR="00013692" w:rsidRDefault="00013692" w:rsidP="00873037">
      <w:pPr>
        <w:pStyle w:val="TITULO4"/>
      </w:pPr>
      <w:bookmarkStart w:id="10" w:name="_Toc532845222"/>
      <w:r>
        <w:t>5.2.2 De Los Conductores</w:t>
      </w:r>
      <w:bookmarkEnd w:id="10"/>
    </w:p>
    <w:p w:rsidR="00013692" w:rsidRDefault="00013692" w:rsidP="00873037">
      <w:pPr>
        <w:pStyle w:val="TextoArial11"/>
        <w:spacing w:after="120"/>
        <w:jc w:val="both"/>
      </w:pPr>
      <w:r>
        <w:t>Si las reglamentaciones aeronáuticas lo requieren, el balizamiento nocturno se hará mediante lámparas de neón suspendidas de los conductores, alimentadas inductivamente.</w:t>
      </w:r>
    </w:p>
    <w:p w:rsidR="00013692" w:rsidRPr="00E77E68" w:rsidRDefault="00013692" w:rsidP="00873037">
      <w:pPr>
        <w:pStyle w:val="Ttulo2"/>
        <w:spacing w:before="0" w:after="120"/>
        <w:rPr>
          <w:lang w:val="es-ES"/>
        </w:rPr>
      </w:pPr>
      <w:bookmarkStart w:id="11" w:name="_Toc532845223"/>
      <w:r w:rsidRPr="00E77E68">
        <w:rPr>
          <w:lang w:val="es-ES"/>
        </w:rPr>
        <w:t>6. PROVISION</w:t>
      </w:r>
      <w:bookmarkEnd w:id="11"/>
    </w:p>
    <w:p w:rsidR="00013692" w:rsidRPr="00E41A11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12" w:name="_Toc532845224"/>
      <w:r w:rsidRPr="00E41A11">
        <w:rPr>
          <w:rFonts w:ascii="Arial" w:hAnsi="Arial" w:cs="Arial"/>
          <w:caps/>
          <w:sz w:val="22"/>
          <w:lang w:val="es-ES"/>
        </w:rPr>
        <w:t>6.1. Balizamiento diurno</w:t>
      </w:r>
      <w:bookmarkEnd w:id="12"/>
    </w:p>
    <w:p w:rsidR="00013692" w:rsidRDefault="00013692" w:rsidP="00873037">
      <w:pPr>
        <w:pStyle w:val="TITULO4"/>
      </w:pPr>
      <w:bookmarkStart w:id="13" w:name="_Toc532845225"/>
      <w:r>
        <w:t>6.1.1 De los cables de guardia</w:t>
      </w:r>
      <w:bookmarkEnd w:id="13"/>
    </w:p>
    <w:p w:rsidR="00013692" w:rsidRDefault="00013692" w:rsidP="00013692">
      <w:pPr>
        <w:pStyle w:val="TextoArial11"/>
        <w:jc w:val="both"/>
      </w:pPr>
      <w:r>
        <w:t>Las esferas ó globos de señalización que resulten del proyecto aprobado serán de aluminio, color rojo por anodización, de diámetro 500 mm como mínimo, de paredes de 1 mm aproximadamente de espesor, para colocar en cables de guardia de acero galvanizado de 9.15 mm de diámetro.</w:t>
      </w:r>
    </w:p>
    <w:p w:rsidR="00013692" w:rsidRDefault="00013692" w:rsidP="00255642">
      <w:pPr>
        <w:pStyle w:val="TextoArial11"/>
        <w:spacing w:before="120"/>
        <w:jc w:val="both"/>
      </w:pPr>
      <w:r>
        <w:t>Las grampas de sujeción serán de acero inoxidable y la semiesfera inferior llevará agujeros de 8 mm de diámetro para evitar la acumulación de agua en su interior.</w:t>
      </w:r>
    </w:p>
    <w:p w:rsidR="00013692" w:rsidRDefault="00013692" w:rsidP="00873037">
      <w:pPr>
        <w:pStyle w:val="TextoArial11"/>
        <w:spacing w:before="120" w:after="120"/>
        <w:jc w:val="both"/>
      </w:pPr>
      <w:r>
        <w:t>El OFERENTE adjuntará una planilla de datos garantizados de las esferas.</w:t>
      </w:r>
    </w:p>
    <w:p w:rsidR="00013692" w:rsidRDefault="00013692" w:rsidP="00873037">
      <w:pPr>
        <w:pStyle w:val="TITULO4"/>
      </w:pPr>
      <w:bookmarkStart w:id="14" w:name="_Toc532845226"/>
      <w:r>
        <w:t>6.1.2 De las estructuras.</w:t>
      </w:r>
      <w:bookmarkEnd w:id="14"/>
    </w:p>
    <w:p w:rsidR="00013692" w:rsidRPr="00255642" w:rsidRDefault="00013692" w:rsidP="00873037">
      <w:pPr>
        <w:pStyle w:val="TextoArial11"/>
        <w:spacing w:after="120"/>
        <w:jc w:val="both"/>
      </w:pPr>
      <w:r>
        <w:t>Las pinturas a utilizar deberán estar aprobadas por el Comando de Regiones Aéreas, y ser aptas para asegurar el pintado durante una vida útil de por lo menos 5 años. El OFERENTE deberá indicar el tipo de pintura a utilizar y el espesor a aplicar, así como los diferentes datos técnicos y garantizados de la misma. Preferentemente se utilizarán pinturas que respondan a las normas IRAM.</w:t>
      </w:r>
    </w:p>
    <w:p w:rsidR="00013692" w:rsidRPr="00255642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15" w:name="_Toc532845227"/>
      <w:r w:rsidRPr="00255642">
        <w:rPr>
          <w:rFonts w:ascii="Arial" w:hAnsi="Arial" w:cs="Arial"/>
          <w:caps/>
          <w:sz w:val="22"/>
          <w:lang w:val="es-ES"/>
        </w:rPr>
        <w:t>6.2. Balizamiento nocturno</w:t>
      </w:r>
      <w:bookmarkEnd w:id="15"/>
    </w:p>
    <w:p w:rsidR="00013692" w:rsidRPr="00255642" w:rsidRDefault="00013692" w:rsidP="00873037">
      <w:pPr>
        <w:pStyle w:val="TITULO4"/>
      </w:pPr>
      <w:bookmarkStart w:id="16" w:name="_Toc532845228"/>
      <w:r w:rsidRPr="00255642">
        <w:lastRenderedPageBreak/>
        <w:t>6.2.1 De las estructuras</w:t>
      </w:r>
      <w:bookmarkEnd w:id="16"/>
    </w:p>
    <w:p w:rsidR="00013692" w:rsidRDefault="00013692" w:rsidP="00873037">
      <w:pPr>
        <w:pStyle w:val="TextoArial11"/>
        <w:spacing w:after="120"/>
        <w:jc w:val="both"/>
      </w:pPr>
      <w:r>
        <w:t>El balizamiento nocturno de cada una de las estructuras que resulten del proyecto aprobado, en caso de disponerse de alimentación en 220 V incluirá las siguientes provisiones: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 xml:space="preserve">Cable armado subterráneo 1 000 V </w:t>
      </w:r>
      <w:proofErr w:type="spellStart"/>
      <w:r>
        <w:t>tetrapolar</w:t>
      </w:r>
      <w:proofErr w:type="spellEnd"/>
      <w:r>
        <w:t>. (El OFERENTE deberá indicar la sección, cantidad y las características del cable a instalar).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1 caja estanca de distribución con los elementos a instalar en ella.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Las cajas de derivación necesarias.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1 célula fotoeléctrica.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Caños de acero galvanizado de 25.4 mm de diámetro con sus abrazaderas de fijación a los perfiles de la torre.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Cables aislados de cobre bipolares.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Artefactos dobles para lámparas de 75 W—220 V, con una separación entre ejes de lámparas de 0.5 metros y una altura desde la base de adosamiento a la base de los artefactos de 0.3 metros.</w:t>
      </w:r>
    </w:p>
    <w:p w:rsidR="00013692" w:rsidRDefault="00013692" w:rsidP="00873037">
      <w:pPr>
        <w:pStyle w:val="TextoArial11"/>
        <w:numPr>
          <w:ilvl w:val="0"/>
          <w:numId w:val="28"/>
        </w:numPr>
        <w:spacing w:after="120"/>
        <w:jc w:val="both"/>
      </w:pPr>
      <w:r>
        <w:t>Lámparas de 75 W — 220 V.</w:t>
      </w:r>
    </w:p>
    <w:p w:rsidR="00013692" w:rsidRDefault="00013692" w:rsidP="00873037">
      <w:pPr>
        <w:pStyle w:val="TITULO4"/>
      </w:pPr>
      <w:bookmarkStart w:id="17" w:name="_Toc532845229"/>
      <w:r>
        <w:t>6.2.2 De los conductores</w:t>
      </w:r>
      <w:bookmarkEnd w:id="17"/>
    </w:p>
    <w:p w:rsidR="00013692" w:rsidRDefault="00013692" w:rsidP="00873037">
      <w:pPr>
        <w:pStyle w:val="TextoArial11"/>
        <w:spacing w:after="120"/>
        <w:jc w:val="both"/>
      </w:pPr>
      <w:r>
        <w:t>En caso de corresponder, el balizamiento de los conductores será efectuado con balizas con lámparas de neón alimentadas por inducción, conforme a las reglamentaciones de la Fuerza Aérea Argentina - Comando de Regiones Aéreas y a las Normas y métodos Recomendados Internacionales - Aeródromos - Anexo 14 al Convenio sobre Aviación Civil Internacional de la OACI.</w:t>
      </w:r>
    </w:p>
    <w:p w:rsidR="00013692" w:rsidRPr="00255642" w:rsidRDefault="00013692" w:rsidP="00873037">
      <w:pPr>
        <w:pStyle w:val="TextoArial11"/>
        <w:spacing w:after="120"/>
        <w:jc w:val="both"/>
      </w:pPr>
      <w:r>
        <w:t xml:space="preserve">El </w:t>
      </w:r>
      <w:r w:rsidRPr="00255642">
        <w:t>OFERENTE incluirá los datos técnicos de la provisión.</w:t>
      </w:r>
    </w:p>
    <w:p w:rsidR="00013692" w:rsidRPr="00255642" w:rsidRDefault="00013692" w:rsidP="00873037">
      <w:pPr>
        <w:pStyle w:val="Ttulo2"/>
        <w:spacing w:before="0" w:after="120"/>
        <w:rPr>
          <w:rFonts w:cs="Arial"/>
          <w:lang w:val="es-ES"/>
        </w:rPr>
      </w:pPr>
      <w:bookmarkStart w:id="18" w:name="_Toc532845230"/>
      <w:r w:rsidRPr="00255642">
        <w:rPr>
          <w:rFonts w:cs="Arial"/>
          <w:lang w:val="es-ES"/>
        </w:rPr>
        <w:t>7. MONTAJE</w:t>
      </w:r>
      <w:bookmarkEnd w:id="18"/>
      <w:r w:rsidRPr="00255642">
        <w:rPr>
          <w:rFonts w:cs="Arial"/>
          <w:lang w:val="es-ES"/>
        </w:rPr>
        <w:t xml:space="preserve"> </w:t>
      </w:r>
    </w:p>
    <w:p w:rsidR="00013692" w:rsidRPr="00255642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19" w:name="_Toc532845231"/>
      <w:r w:rsidRPr="00255642">
        <w:rPr>
          <w:rFonts w:ascii="Arial" w:hAnsi="Arial" w:cs="Arial"/>
          <w:caps/>
          <w:sz w:val="22"/>
          <w:lang w:val="es-ES"/>
        </w:rPr>
        <w:t>7.1 Balizamiento Diurno</w:t>
      </w:r>
      <w:bookmarkEnd w:id="19"/>
    </w:p>
    <w:p w:rsidR="00013692" w:rsidRPr="00255642" w:rsidRDefault="00013692" w:rsidP="00873037">
      <w:pPr>
        <w:pStyle w:val="TITULO4"/>
      </w:pPr>
      <w:bookmarkStart w:id="20" w:name="_Toc532845232"/>
      <w:r w:rsidRPr="00255642">
        <w:t>7.1.1 De los cables de guardia</w:t>
      </w:r>
      <w:bookmarkEnd w:id="20"/>
    </w:p>
    <w:p w:rsidR="00013692" w:rsidRDefault="00013692" w:rsidP="00013692">
      <w:pPr>
        <w:pStyle w:val="TextoArial11"/>
        <w:jc w:val="both"/>
      </w:pPr>
      <w:r>
        <w:t>Las esferas o globos de señalización para aviación se montarán en el cable de guardia de acero galvanizado de diámetro 9.15 mm, separados aproximadamente 40 m entre si</w:t>
      </w:r>
    </w:p>
    <w:p w:rsidR="00013692" w:rsidRDefault="00013692" w:rsidP="00873037">
      <w:pPr>
        <w:pStyle w:val="TextoArial11"/>
        <w:spacing w:before="120" w:after="120"/>
        <w:jc w:val="both"/>
      </w:pPr>
      <w:r>
        <w:t>Se deberá aplicar a las tuercas de las grampas de ajuste el torque indicado por el fabricante.</w:t>
      </w:r>
    </w:p>
    <w:p w:rsidR="00013692" w:rsidRPr="00255642" w:rsidRDefault="00013692" w:rsidP="00873037">
      <w:pPr>
        <w:pStyle w:val="TITULO4"/>
      </w:pPr>
      <w:bookmarkStart w:id="21" w:name="_Toc532845233"/>
      <w:r w:rsidRPr="00255642">
        <w:t>7.1.2 De las estructuras</w:t>
      </w:r>
      <w:bookmarkEnd w:id="21"/>
      <w:r w:rsidRPr="00255642">
        <w:t xml:space="preserve"> </w:t>
      </w:r>
    </w:p>
    <w:p w:rsidR="00013692" w:rsidRPr="00255642" w:rsidRDefault="00013692" w:rsidP="00255642">
      <w:pPr>
        <w:pStyle w:val="TextoArial11"/>
        <w:jc w:val="both"/>
      </w:pPr>
      <w:r w:rsidRPr="00255642">
        <w:t>Las superficies deberán estar secas y libres de suciedad, polvo, grasa, aceite y otras materias extrañas antes de la aplicación de cualquier pintura.</w:t>
      </w:r>
    </w:p>
    <w:p w:rsidR="00013692" w:rsidRPr="00255642" w:rsidRDefault="00013692" w:rsidP="00255642">
      <w:pPr>
        <w:pStyle w:val="TextoArial11"/>
        <w:spacing w:before="120"/>
        <w:jc w:val="both"/>
      </w:pPr>
      <w:r w:rsidRPr="00255642">
        <w:t>Las estructuras se pintarán en las caras interiores y exteriores de los perfiles, carteles, chapas, bulones, tuercas, etc.</w:t>
      </w:r>
    </w:p>
    <w:p w:rsidR="00013692" w:rsidRPr="00255642" w:rsidRDefault="00013692" w:rsidP="00255642">
      <w:pPr>
        <w:pStyle w:val="TextoArial11"/>
        <w:spacing w:before="120"/>
        <w:jc w:val="both"/>
      </w:pPr>
      <w:r w:rsidRPr="00255642">
        <w:t>El almacenaje y la preparación de las pinturas y otros materiales de base serán realizados de acuerdo con las instrucciones del fabricante. Todas las pinturas serán utilizadas dentro de los 3 meses después del suministro por el fabricante.</w:t>
      </w:r>
    </w:p>
    <w:p w:rsidR="00013692" w:rsidRPr="00255642" w:rsidRDefault="00013692" w:rsidP="00255642">
      <w:pPr>
        <w:pStyle w:val="TextoArial11"/>
        <w:spacing w:before="120"/>
        <w:jc w:val="both"/>
      </w:pPr>
      <w:r w:rsidRPr="00255642">
        <w:t xml:space="preserve">El </w:t>
      </w:r>
      <w:r w:rsidR="00167AB4">
        <w:t>CONTRATISTA PPP</w:t>
      </w:r>
      <w:r w:rsidRPr="00255642">
        <w:t xml:space="preserve"> deberá poseer un medidor de espesores de pintura aplicada.</w:t>
      </w:r>
    </w:p>
    <w:p w:rsidR="00013692" w:rsidRPr="00255642" w:rsidRDefault="00013692" w:rsidP="00255642">
      <w:pPr>
        <w:pStyle w:val="TextoArial11"/>
        <w:spacing w:before="120"/>
        <w:jc w:val="both"/>
      </w:pPr>
      <w:r w:rsidRPr="00255642">
        <w:lastRenderedPageBreak/>
        <w:t>El proveedor de la pintura deberá dar asistencia técnica sobre la correcta aplicación de las pinturas sobre perfiles galvanizados.</w:t>
      </w:r>
    </w:p>
    <w:p w:rsidR="00013692" w:rsidRPr="00255642" w:rsidRDefault="00013692" w:rsidP="00873037">
      <w:pPr>
        <w:pStyle w:val="TextoArial11"/>
        <w:spacing w:before="120" w:after="120"/>
        <w:jc w:val="both"/>
      </w:pPr>
      <w:r w:rsidRPr="00255642">
        <w:t xml:space="preserve">El </w:t>
      </w:r>
      <w:r w:rsidR="00167AB4">
        <w:t>CONTRATISTA PPP</w:t>
      </w:r>
      <w:r w:rsidRPr="00255642">
        <w:t xml:space="preserve"> entregará 30 días antes de comenzar el pintado, el Procedimiento y/o Instrucción de Trabajo a aplicar.</w:t>
      </w:r>
    </w:p>
    <w:p w:rsidR="00013692" w:rsidRPr="00255642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22" w:name="_Toc532845234"/>
      <w:r w:rsidRPr="00255642">
        <w:rPr>
          <w:rFonts w:ascii="Arial" w:hAnsi="Arial" w:cs="Arial"/>
          <w:caps/>
          <w:sz w:val="22"/>
          <w:lang w:val="es-ES"/>
        </w:rPr>
        <w:t>7.2. Balizamiento Nocturno</w:t>
      </w:r>
      <w:bookmarkEnd w:id="22"/>
    </w:p>
    <w:p w:rsidR="00013692" w:rsidRDefault="00013692" w:rsidP="00873037">
      <w:pPr>
        <w:pStyle w:val="TextoArial11"/>
        <w:spacing w:after="120"/>
        <w:jc w:val="both"/>
      </w:pPr>
      <w:r w:rsidRPr="00255642">
        <w:t>Las tareas que se indican se deberán</w:t>
      </w:r>
      <w:r>
        <w:t xml:space="preserve"> tomar con carácter enunciativo y no limitativo, debiendo efectuarse todos los trabajos necesarios de acuerdo con el proyecto aprobado por el </w:t>
      </w:r>
      <w:r w:rsidR="00167AB4">
        <w:t>ENTE CONTRATANTE</w:t>
      </w:r>
      <w:r>
        <w:t xml:space="preserve"> y el Comando de Regiones Aéreas.</w:t>
      </w:r>
    </w:p>
    <w:p w:rsidR="00013692" w:rsidRDefault="00013692" w:rsidP="00873037">
      <w:pPr>
        <w:pStyle w:val="TITULO4"/>
      </w:pPr>
      <w:bookmarkStart w:id="23" w:name="_Toc532845235"/>
      <w:r>
        <w:t>7.2.1 De las estructuras</w:t>
      </w:r>
      <w:bookmarkEnd w:id="23"/>
    </w:p>
    <w:p w:rsidR="00013692" w:rsidRPr="00255642" w:rsidRDefault="00013692" w:rsidP="00873037">
      <w:pPr>
        <w:pStyle w:val="TextoArial11"/>
        <w:spacing w:after="120"/>
        <w:jc w:val="both"/>
        <w:rPr>
          <w:szCs w:val="22"/>
        </w:rPr>
      </w:pPr>
      <w:r>
        <w:t xml:space="preserve">El </w:t>
      </w:r>
      <w:r w:rsidR="00167AB4">
        <w:t>CONTRATISTA PPP</w:t>
      </w:r>
      <w:r>
        <w:t xml:space="preserve"> instalará el cable armado subterráneo aislación 1 000 V, </w:t>
      </w:r>
      <w:proofErr w:type="spellStart"/>
      <w:r>
        <w:t>tetrapolar</w:t>
      </w:r>
      <w:proofErr w:type="spellEnd"/>
      <w:r>
        <w:t xml:space="preserve"> desde la fuente de alimentación, efectuará el empalme a la línea existente, montará la caja de distribución con todos los elementos que van en ella, fijará los caños de acero galvanizado a los perfiles de la torre mediante abrazaderas para no agujerear los perfiles, instalará los cables de cobre aislado, las cajas de derivación y los artefactos con sus lámparas.</w:t>
      </w:r>
    </w:p>
    <w:p w:rsidR="00013692" w:rsidRPr="00255642" w:rsidRDefault="00013692" w:rsidP="00873037">
      <w:pPr>
        <w:pStyle w:val="TITULO4"/>
      </w:pPr>
      <w:bookmarkStart w:id="24" w:name="_Toc532845236"/>
      <w:r w:rsidRPr="00255642">
        <w:t>7.2.2 De los Conductores</w:t>
      </w:r>
      <w:bookmarkEnd w:id="24"/>
    </w:p>
    <w:p w:rsidR="00013692" w:rsidRPr="00255642" w:rsidRDefault="00013692" w:rsidP="00873037">
      <w:pPr>
        <w:pStyle w:val="TextoArial11"/>
        <w:spacing w:after="120"/>
        <w:jc w:val="both"/>
        <w:rPr>
          <w:szCs w:val="22"/>
        </w:rPr>
      </w:pPr>
      <w:r w:rsidRPr="00255642">
        <w:rPr>
          <w:szCs w:val="22"/>
        </w:rPr>
        <w:t xml:space="preserve">De ser requerido por las autoridades aeronáuticas correspondientes, el </w:t>
      </w:r>
      <w:r w:rsidR="00167AB4">
        <w:rPr>
          <w:szCs w:val="22"/>
        </w:rPr>
        <w:t>CONTRATISTA PPP</w:t>
      </w:r>
      <w:r w:rsidRPr="00255642">
        <w:rPr>
          <w:szCs w:val="22"/>
        </w:rPr>
        <w:t xml:space="preserve"> instalará las lámparas de neón y sus accesorios sobre los conductores en la cantidad y distanciamiento que se indiquen.</w:t>
      </w:r>
    </w:p>
    <w:p w:rsidR="00013692" w:rsidRPr="00255642" w:rsidRDefault="00013692" w:rsidP="00873037">
      <w:pPr>
        <w:pStyle w:val="Ttulo2"/>
        <w:spacing w:before="0" w:after="120"/>
        <w:rPr>
          <w:sz w:val="22"/>
          <w:szCs w:val="22"/>
          <w:lang w:val="es-ES"/>
        </w:rPr>
      </w:pPr>
      <w:bookmarkStart w:id="25" w:name="_Toc532845237"/>
      <w:r w:rsidRPr="00255642">
        <w:rPr>
          <w:sz w:val="22"/>
          <w:szCs w:val="22"/>
          <w:lang w:val="es-ES"/>
        </w:rPr>
        <w:t>8. ENSAYOS DE REMESA</w:t>
      </w:r>
      <w:bookmarkEnd w:id="25"/>
    </w:p>
    <w:p w:rsidR="00013692" w:rsidRDefault="00013692" w:rsidP="00873037">
      <w:pPr>
        <w:pStyle w:val="TextoArial11"/>
        <w:spacing w:after="120"/>
        <w:jc w:val="both"/>
      </w:pPr>
      <w:r w:rsidRPr="00255642">
        <w:rPr>
          <w:szCs w:val="22"/>
        </w:rPr>
        <w:t>Las normas que se apliquen serán las vigentes en la fecha del llamado a</w:t>
      </w:r>
      <w:r>
        <w:t xml:space="preserve"> licitación.</w:t>
      </w:r>
    </w:p>
    <w:p w:rsidR="00013692" w:rsidRPr="00255642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lang w:val="es-ES"/>
        </w:rPr>
      </w:pPr>
      <w:bookmarkStart w:id="26" w:name="_Toc532845238"/>
      <w:r w:rsidRPr="00255642">
        <w:rPr>
          <w:rFonts w:ascii="Arial" w:hAnsi="Arial" w:cs="Arial"/>
          <w:caps/>
          <w:sz w:val="22"/>
          <w:lang w:val="es-ES"/>
        </w:rPr>
        <w:t>8.1. Esferas de aluminio</w:t>
      </w:r>
      <w:bookmarkEnd w:id="26"/>
    </w:p>
    <w:p w:rsidR="00013692" w:rsidRDefault="00013692" w:rsidP="00873037">
      <w:pPr>
        <w:pStyle w:val="TextoArial11"/>
        <w:spacing w:after="120"/>
        <w:jc w:val="both"/>
      </w:pPr>
      <w:r>
        <w:t>Se ensayarán tres esferas de acuerdo a las normas IRAM 60904 y 60907 para determinar el espesor de la capa anodizada y la capa anodizada por unidad de superficie</w:t>
      </w:r>
      <w:r>
        <w:rPr>
          <w:vertAlign w:val="subscript"/>
        </w:rPr>
        <w:t>,</w:t>
      </w:r>
      <w:r>
        <w:t xml:space="preserve"> respectivamente.</w:t>
      </w:r>
    </w:p>
    <w:p w:rsidR="00013692" w:rsidRDefault="00013692" w:rsidP="00873037">
      <w:pPr>
        <w:pStyle w:val="TITULO4"/>
      </w:pPr>
      <w:bookmarkStart w:id="27" w:name="_Toc532845239"/>
      <w:r>
        <w:t>8.1.1 Criterios de muestreo y aceptación</w:t>
      </w:r>
      <w:bookmarkEnd w:id="27"/>
    </w:p>
    <w:p w:rsidR="00013692" w:rsidRDefault="00013692" w:rsidP="00BD54A8">
      <w:pPr>
        <w:pStyle w:val="TextoArial11"/>
        <w:jc w:val="both"/>
      </w:pPr>
      <w:r>
        <w:t>Del total de la remesa se extraerán tres muestras ensayándose una de ellas. Si el resultado de los ensayos es satisfactorio, se dará por aprobada la remesa.</w:t>
      </w:r>
    </w:p>
    <w:p w:rsidR="00013692" w:rsidRPr="00BD54A8" w:rsidRDefault="00013692" w:rsidP="00873037">
      <w:pPr>
        <w:pStyle w:val="TextoArial11"/>
        <w:spacing w:after="120"/>
        <w:jc w:val="both"/>
        <w:rPr>
          <w:szCs w:val="22"/>
        </w:rPr>
      </w:pPr>
      <w:r>
        <w:t>En caso contrario, se ensayarán las 2 muestras restantes debiendo ser satisfactorios todos los ensayos efectuados sobre ellas para aprobar la remesa. En caso contrario</w:t>
      </w:r>
      <w:r>
        <w:rPr>
          <w:vertAlign w:val="subscript"/>
        </w:rPr>
        <w:t xml:space="preserve"> </w:t>
      </w:r>
      <w:r>
        <w:t>se rechazará la misma.</w:t>
      </w:r>
    </w:p>
    <w:p w:rsidR="00013692" w:rsidRPr="00BD54A8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8" w:name="_Toc532845240"/>
      <w:r w:rsidRPr="00BD54A8">
        <w:rPr>
          <w:rFonts w:ascii="Arial" w:hAnsi="Arial" w:cs="Arial"/>
          <w:caps/>
          <w:sz w:val="22"/>
          <w:szCs w:val="22"/>
          <w:lang w:val="es-ES"/>
        </w:rPr>
        <w:t>8.2. Pinturas</w:t>
      </w:r>
      <w:bookmarkEnd w:id="28"/>
    </w:p>
    <w:p w:rsidR="00013692" w:rsidRPr="00BD54A8" w:rsidRDefault="00013692" w:rsidP="00873037">
      <w:pPr>
        <w:pStyle w:val="TextoArial11"/>
        <w:spacing w:after="120"/>
        <w:jc w:val="both"/>
        <w:rPr>
          <w:szCs w:val="22"/>
        </w:rPr>
      </w:pPr>
      <w:r w:rsidRPr="00BD54A8">
        <w:rPr>
          <w:szCs w:val="22"/>
        </w:rPr>
        <w:t>Se inspeccionarán según las normas IRAM aplicables a los tipos propuestos.</w:t>
      </w:r>
    </w:p>
    <w:p w:rsidR="00013692" w:rsidRPr="00BD54A8" w:rsidRDefault="00013692" w:rsidP="00873037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9" w:name="_Toc532845241"/>
      <w:r w:rsidRPr="00BD54A8">
        <w:rPr>
          <w:rFonts w:ascii="Arial" w:hAnsi="Arial" w:cs="Arial"/>
          <w:caps/>
          <w:sz w:val="22"/>
          <w:szCs w:val="22"/>
          <w:lang w:val="es-ES"/>
        </w:rPr>
        <w:t>8.3 Elementos de balizamiento nocturno</w:t>
      </w:r>
      <w:bookmarkEnd w:id="29"/>
    </w:p>
    <w:p w:rsidR="00013692" w:rsidRPr="00BD54A8" w:rsidRDefault="00013692" w:rsidP="00873037">
      <w:pPr>
        <w:pStyle w:val="TextoArial11"/>
        <w:spacing w:after="120"/>
        <w:jc w:val="both"/>
        <w:rPr>
          <w:szCs w:val="22"/>
        </w:rPr>
      </w:pPr>
      <w:r w:rsidRPr="00BD54A8">
        <w:rPr>
          <w:szCs w:val="22"/>
        </w:rPr>
        <w:t>Serán inspeccionados los diferentes elementos aplicando las normas que correspondan en cada caso.</w:t>
      </w:r>
    </w:p>
    <w:p w:rsidR="00013692" w:rsidRPr="00BD54A8" w:rsidRDefault="00013692" w:rsidP="00873037">
      <w:pPr>
        <w:pStyle w:val="Ttulo2"/>
        <w:spacing w:before="0" w:after="120"/>
        <w:rPr>
          <w:rFonts w:cs="Arial"/>
          <w:sz w:val="22"/>
          <w:szCs w:val="22"/>
          <w:lang w:val="es-ES"/>
        </w:rPr>
      </w:pPr>
      <w:bookmarkStart w:id="30" w:name="_Toc532845242"/>
      <w:r w:rsidRPr="00BD54A8">
        <w:rPr>
          <w:rFonts w:cs="Arial"/>
          <w:sz w:val="22"/>
          <w:szCs w:val="22"/>
          <w:lang w:val="es-ES"/>
        </w:rPr>
        <w:t>9. ENSAYOS DE RECEPCION DEL BALIZAMIENTO</w:t>
      </w:r>
      <w:bookmarkEnd w:id="30"/>
    </w:p>
    <w:p w:rsidR="00013692" w:rsidRPr="00BD54A8" w:rsidRDefault="00013692" w:rsidP="00873037">
      <w:pPr>
        <w:pStyle w:val="TextoArial11"/>
        <w:spacing w:after="120"/>
        <w:jc w:val="both"/>
        <w:rPr>
          <w:szCs w:val="22"/>
        </w:rPr>
      </w:pPr>
      <w:r w:rsidRPr="00BD54A8">
        <w:rPr>
          <w:szCs w:val="22"/>
        </w:rPr>
        <w:t>Los ensayos consistirán en:</w:t>
      </w:r>
    </w:p>
    <w:p w:rsidR="00013692" w:rsidRPr="00BD54A8" w:rsidRDefault="00013692" w:rsidP="00873037">
      <w:pPr>
        <w:pStyle w:val="TextoArial11"/>
        <w:spacing w:after="120"/>
        <w:jc w:val="both"/>
        <w:rPr>
          <w:szCs w:val="22"/>
        </w:rPr>
      </w:pPr>
      <w:r w:rsidRPr="00BD54A8">
        <w:rPr>
          <w:szCs w:val="22"/>
        </w:rPr>
        <w:sym w:font="Symbol" w:char="F0B7"/>
      </w:r>
      <w:r w:rsidRPr="00BD54A8">
        <w:rPr>
          <w:szCs w:val="22"/>
        </w:rPr>
        <w:t xml:space="preserve"> Verificación</w:t>
      </w:r>
    </w:p>
    <w:p w:rsidR="00013692" w:rsidRPr="00BD54A8" w:rsidRDefault="00013692" w:rsidP="00BD54A8">
      <w:pPr>
        <w:pStyle w:val="TextoArial11"/>
        <w:jc w:val="both"/>
        <w:rPr>
          <w:szCs w:val="22"/>
        </w:rPr>
      </w:pPr>
      <w:r w:rsidRPr="00BD54A8">
        <w:rPr>
          <w:szCs w:val="22"/>
        </w:rPr>
        <w:sym w:font="Symbol" w:char="F0B7"/>
      </w:r>
      <w:r w:rsidRPr="00BD54A8">
        <w:rPr>
          <w:szCs w:val="22"/>
        </w:rPr>
        <w:t xml:space="preserve"> Periodo de Prueba y normalización</w:t>
      </w:r>
    </w:p>
    <w:p w:rsidR="00013692" w:rsidRPr="00BD54A8" w:rsidRDefault="00013692" w:rsidP="00BD54A8">
      <w:pPr>
        <w:pStyle w:val="TextoArial11"/>
        <w:spacing w:before="120"/>
        <w:jc w:val="both"/>
        <w:rPr>
          <w:u w:val="single"/>
        </w:rPr>
      </w:pPr>
      <w:r>
        <w:tab/>
      </w:r>
      <w:r w:rsidRPr="00BD54A8">
        <w:rPr>
          <w:u w:val="single"/>
        </w:rPr>
        <w:t>Verificación</w:t>
      </w:r>
    </w:p>
    <w:p w:rsidR="00013692" w:rsidRDefault="00013692" w:rsidP="00873037">
      <w:pPr>
        <w:pStyle w:val="TextoArial11"/>
        <w:spacing w:after="120"/>
        <w:jc w:val="both"/>
      </w:pPr>
      <w:r>
        <w:lastRenderedPageBreak/>
        <w:t xml:space="preserve">Será efectuada por la Inspección </w:t>
      </w:r>
      <w:r w:rsidR="00167AB4">
        <w:t xml:space="preserve">Técnica de Obra </w:t>
      </w:r>
      <w:r>
        <w:t>al terminarse la instalación, a efectos de determinar si se encuentra completa y bajo el régimen de funcionamiento previsto, células fotoeléctricas, etc.</w:t>
      </w:r>
    </w:p>
    <w:p w:rsidR="00013692" w:rsidRPr="00BD54A8" w:rsidRDefault="00013692" w:rsidP="00873037">
      <w:pPr>
        <w:pStyle w:val="TextoArial11"/>
        <w:spacing w:after="120"/>
        <w:jc w:val="both"/>
        <w:rPr>
          <w:u w:val="single"/>
        </w:rPr>
      </w:pPr>
      <w:r>
        <w:tab/>
      </w:r>
      <w:r w:rsidRPr="00BD54A8">
        <w:rPr>
          <w:u w:val="single"/>
        </w:rPr>
        <w:t xml:space="preserve"> Período de prueba y normalización</w:t>
      </w:r>
    </w:p>
    <w:p w:rsidR="00013692" w:rsidRDefault="00013692" w:rsidP="00873037">
      <w:pPr>
        <w:pStyle w:val="TextoArial11"/>
        <w:spacing w:after="120"/>
        <w:jc w:val="both"/>
      </w:pPr>
      <w:r>
        <w:t>Durante este período que va desde el momento de le verificación hasta la Habilitación Comercial, la Inspección</w:t>
      </w:r>
      <w:r w:rsidR="00167AB4">
        <w:t xml:space="preserve"> Técnica de Obra</w:t>
      </w:r>
      <w:r>
        <w:t xml:space="preserve"> efectuará constataciones con el fin de determinar su correcto funcionamiento, indicando en su defecto las anomalías que presenta a efectos de su normalización.</w:t>
      </w:r>
    </w:p>
    <w:p w:rsidR="00013692" w:rsidRPr="00381770" w:rsidRDefault="00013692" w:rsidP="00873037">
      <w:pPr>
        <w:pStyle w:val="Ttulo2"/>
        <w:spacing w:before="0" w:after="120"/>
        <w:rPr>
          <w:lang w:val="es-ES"/>
        </w:rPr>
      </w:pPr>
      <w:bookmarkStart w:id="31" w:name="_Toc532845243"/>
      <w:r w:rsidRPr="00381770">
        <w:rPr>
          <w:lang w:val="es-ES"/>
        </w:rPr>
        <w:t>10. GESTIÓN DE LA CALIDAD</w:t>
      </w:r>
      <w:bookmarkEnd w:id="31"/>
    </w:p>
    <w:p w:rsidR="00013692" w:rsidRPr="00E77E68" w:rsidRDefault="00013692" w:rsidP="00BD54A8">
      <w:pPr>
        <w:jc w:val="both"/>
        <w:rPr>
          <w:sz w:val="22"/>
          <w:lang w:val="es-ES"/>
        </w:rPr>
      </w:pPr>
      <w:r w:rsidRPr="00E77E68">
        <w:rPr>
          <w:sz w:val="22"/>
          <w:lang w:val="es-ES"/>
        </w:rPr>
        <w:t xml:space="preserve">Con la finalidad de asegurar la calidad de los materiales y el montaje a que se refiere esta Especificación, el </w:t>
      </w:r>
      <w:r w:rsidR="00167AB4">
        <w:rPr>
          <w:sz w:val="22"/>
          <w:lang w:val="es-ES"/>
        </w:rPr>
        <w:t>CONTRATISTA PPP</w:t>
      </w:r>
      <w:r w:rsidRPr="00E77E68">
        <w:rPr>
          <w:sz w:val="22"/>
          <w:lang w:val="es-ES"/>
        </w:rPr>
        <w:t xml:space="preserve"> elaborará, dentro del Plan de Calidad que aplicará dentro de la presente Ampliación, Procedimiento y/o Instrucciones de Trabajo que deberán contener obligatoriamente todas las recomendaciones y requerimientos contenidos en </w:t>
      </w:r>
      <w:r w:rsidR="00C17EE4">
        <w:rPr>
          <w:sz w:val="22"/>
          <w:lang w:val="es-ES"/>
        </w:rPr>
        <w:t>la Sección VIII m</w:t>
      </w:r>
      <w:r w:rsidR="00F56596">
        <w:rPr>
          <w:sz w:val="22"/>
          <w:lang w:val="es-ES"/>
        </w:rPr>
        <w:t>2</w:t>
      </w:r>
      <w:r w:rsidR="00C17EE4">
        <w:rPr>
          <w:sz w:val="22"/>
          <w:lang w:val="es-ES"/>
        </w:rPr>
        <w:t xml:space="preserve"> d</w:t>
      </w:r>
      <w:r w:rsidRPr="00E77E68">
        <w:rPr>
          <w:sz w:val="22"/>
          <w:lang w:val="es-ES"/>
        </w:rPr>
        <w:t xml:space="preserve">el presente </w:t>
      </w:r>
      <w:r w:rsidR="00F56596">
        <w:rPr>
          <w:sz w:val="22"/>
          <w:lang w:val="es-ES"/>
        </w:rPr>
        <w:t>Anexo VIII</w:t>
      </w:r>
      <w:r w:rsidRPr="00E77E68">
        <w:rPr>
          <w:sz w:val="22"/>
          <w:lang w:val="es-ES"/>
        </w:rPr>
        <w:t>.</w:t>
      </w:r>
    </w:p>
    <w:p w:rsidR="00013692" w:rsidRPr="004B3CC5" w:rsidRDefault="00013692" w:rsidP="00BD54A8">
      <w:pPr>
        <w:pStyle w:val="NormalArial"/>
        <w:spacing w:before="120" w:line="240" w:lineRule="auto"/>
      </w:pPr>
      <w:r w:rsidRPr="004B3CC5">
        <w:t>Asimismo, contendrán los modelos de formularios o registros a ser completados durante el proceso de fabricación y ejecución de los montajes. La información contenida en dichos formularios o registros deberá asegurar la trazabilidad de los elementos instalados e identificará a los responsables de la producción y de gestión de calidad.</w:t>
      </w:r>
    </w:p>
    <w:p w:rsidR="00013692" w:rsidRPr="00E77E68" w:rsidRDefault="00013692" w:rsidP="00BD54A8">
      <w:pPr>
        <w:spacing w:before="120"/>
        <w:jc w:val="both"/>
        <w:rPr>
          <w:sz w:val="22"/>
          <w:lang w:val="es-ES"/>
        </w:rPr>
      </w:pPr>
      <w:r w:rsidRPr="00E77E68">
        <w:rPr>
          <w:sz w:val="22"/>
          <w:lang w:val="es-ES"/>
        </w:rPr>
        <w:t>Los procedimientos y/o instrucciones de trabajo arriba consignados serán presentados a la aprobación de la Inspección</w:t>
      </w:r>
      <w:r w:rsidR="00167AB4">
        <w:rPr>
          <w:sz w:val="22"/>
          <w:lang w:val="es-ES"/>
        </w:rPr>
        <w:t xml:space="preserve"> Técnica</w:t>
      </w:r>
      <w:r w:rsidRPr="00E77E68">
        <w:rPr>
          <w:sz w:val="22"/>
          <w:lang w:val="es-ES"/>
        </w:rPr>
        <w:t xml:space="preserve"> del </w:t>
      </w:r>
      <w:r w:rsidR="00167AB4">
        <w:rPr>
          <w:sz w:val="22"/>
          <w:lang w:val="es-ES"/>
        </w:rPr>
        <w:t>ENTE CONTRATANTE</w:t>
      </w:r>
      <w:r w:rsidRPr="00E77E68">
        <w:rPr>
          <w:sz w:val="22"/>
          <w:lang w:val="es-ES"/>
        </w:rPr>
        <w:t xml:space="preserve"> con SESENTA (60) días de antelación respecto de la iniciación de la fabricación y de la iniciación de los montajes, de acuerdo al Cronograma de Obra aprobado.</w:t>
      </w:r>
    </w:p>
    <w:p w:rsidR="00013692" w:rsidRDefault="00013692" w:rsidP="00013692">
      <w:pPr>
        <w:pStyle w:val="TituloArial12"/>
        <w:jc w:val="both"/>
        <w:rPr>
          <w:b w:val="0"/>
        </w:rPr>
      </w:pPr>
    </w:p>
    <w:p w:rsidR="00013692" w:rsidRPr="00F56596" w:rsidRDefault="00013692" w:rsidP="00013692">
      <w:pPr>
        <w:pStyle w:val="Arial12"/>
        <w:rPr>
          <w:b w:val="0"/>
        </w:rPr>
      </w:pPr>
    </w:p>
    <w:p w:rsidR="00E32785" w:rsidRPr="00F56596" w:rsidRDefault="00E32785" w:rsidP="00013692">
      <w:pPr>
        <w:pStyle w:val="Ttulo2"/>
        <w:rPr>
          <w:b w:val="0"/>
          <w:lang w:val="es-ES_tradnl"/>
        </w:rPr>
      </w:pPr>
      <w:bookmarkStart w:id="32" w:name="_GoBack"/>
      <w:bookmarkEnd w:id="32"/>
    </w:p>
    <w:sectPr w:rsidR="00E32785" w:rsidRPr="00F56596" w:rsidSect="00873037">
      <w:headerReference w:type="default" r:id="rId11"/>
      <w:headerReference w:type="first" r:id="rId12"/>
      <w:pgSz w:w="11907" w:h="16840" w:code="9"/>
      <w:pgMar w:top="1701" w:right="90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DEA" w:rsidRDefault="00B72DEA">
      <w:r>
        <w:separator/>
      </w:r>
    </w:p>
  </w:endnote>
  <w:endnote w:type="continuationSeparator" w:id="0">
    <w:p w:rsidR="00B72DEA" w:rsidRDefault="00B7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30" w:rsidRPr="003346F5" w:rsidRDefault="004C0B30" w:rsidP="004C0B30">
    <w:pPr>
      <w:spacing w:before="120"/>
      <w:rPr>
        <w:i/>
        <w:sz w:val="18"/>
        <w:szCs w:val="18"/>
        <w:lang w:val="es-ES"/>
      </w:rPr>
    </w:pPr>
    <w:r w:rsidRPr="003346F5">
      <w:rPr>
        <w:i/>
        <w:sz w:val="18"/>
        <w:szCs w:val="18"/>
        <w:lang w:val="es-ES"/>
      </w:rPr>
      <w:t>RD-CH (</w:t>
    </w:r>
    <w:proofErr w:type="spellStart"/>
    <w:r w:rsidRPr="003346F5">
      <w:rPr>
        <w:i/>
        <w:sz w:val="18"/>
        <w:szCs w:val="18"/>
        <w:lang w:val="es-ES"/>
      </w:rPr>
      <w:t>PB</w:t>
    </w:r>
    <w:r w:rsidR="003346F5" w:rsidRPr="003346F5">
      <w:rPr>
        <w:i/>
        <w:sz w:val="18"/>
        <w:szCs w:val="18"/>
        <w:lang w:val="es-ES"/>
      </w:rPr>
      <w:t>y</w:t>
    </w:r>
    <w:r w:rsidRPr="003346F5">
      <w:rPr>
        <w:i/>
        <w:sz w:val="18"/>
        <w:szCs w:val="18"/>
        <w:lang w:val="es-ES"/>
      </w:rPr>
      <w:t>C</w:t>
    </w:r>
    <w:proofErr w:type="spellEnd"/>
    <w:r w:rsidR="003346F5" w:rsidRPr="003346F5">
      <w:rPr>
        <w:i/>
        <w:sz w:val="18"/>
        <w:szCs w:val="18"/>
        <w:lang w:val="es-ES"/>
      </w:rPr>
      <w:t xml:space="preserve"> - PPP</w:t>
    </w:r>
    <w:r w:rsidRPr="003346F5">
      <w:rPr>
        <w:i/>
        <w:sz w:val="18"/>
        <w:szCs w:val="18"/>
        <w:lang w:val="es-ES"/>
      </w:rPr>
      <w:t>) - Sección VIII</w:t>
    </w:r>
    <w:r w:rsidR="003346F5" w:rsidRPr="003346F5">
      <w:rPr>
        <w:i/>
        <w:sz w:val="18"/>
        <w:szCs w:val="18"/>
        <w:lang w:val="es-ES"/>
      </w:rPr>
      <w:t xml:space="preserve"> </w:t>
    </w:r>
    <w:r w:rsidRPr="003346F5">
      <w:rPr>
        <w:i/>
        <w:sz w:val="18"/>
        <w:szCs w:val="18"/>
        <w:lang w:val="es-ES"/>
      </w:rPr>
      <w:t>h</w:t>
    </w:r>
    <w:r w:rsidR="003346F5" w:rsidRPr="003346F5">
      <w:rPr>
        <w:i/>
        <w:sz w:val="18"/>
        <w:szCs w:val="18"/>
        <w:lang w:val="es-ES"/>
      </w:rPr>
      <w:t>2 – ET Nº 12</w:t>
    </w:r>
    <w:r w:rsidRPr="003346F5">
      <w:rPr>
        <w:i/>
        <w:sz w:val="18"/>
        <w:szCs w:val="18"/>
        <w:lang w:val="es-ES"/>
      </w:rPr>
      <w:t xml:space="preserve"> </w:t>
    </w:r>
    <w:proofErr w:type="spellStart"/>
    <w:r w:rsidR="003346F5" w:rsidRPr="003346F5">
      <w:rPr>
        <w:i/>
        <w:sz w:val="18"/>
        <w:szCs w:val="18"/>
        <w:lang w:val="es-ES"/>
      </w:rPr>
      <w:t>R</w:t>
    </w:r>
    <w:r w:rsidRPr="003346F5">
      <w:rPr>
        <w:i/>
        <w:sz w:val="18"/>
        <w:szCs w:val="18"/>
        <w:lang w:val="es-ES"/>
      </w:rPr>
      <w:t>ev</w:t>
    </w:r>
    <w:proofErr w:type="spellEnd"/>
    <w:r w:rsidRPr="003346F5">
      <w:rPr>
        <w:i/>
        <w:sz w:val="18"/>
        <w:szCs w:val="18"/>
        <w:lang w:val="es-ES"/>
      </w:rPr>
      <w:t xml:space="preserve"> </w:t>
    </w:r>
    <w:r w:rsidR="003346F5" w:rsidRPr="003346F5">
      <w:rPr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30" w:rsidRDefault="004C0B30">
    <w:pPr>
      <w:pStyle w:val="Piedepgina"/>
    </w:pPr>
  </w:p>
  <w:p w:rsidR="00FC4339" w:rsidRDefault="00FC4339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DEA" w:rsidRDefault="00B72DEA">
      <w:r>
        <w:separator/>
      </w:r>
    </w:p>
  </w:footnote>
  <w:footnote w:type="continuationSeparator" w:id="0">
    <w:p w:rsidR="00B72DEA" w:rsidRDefault="00B72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7"/>
      <w:gridCol w:w="4574"/>
      <w:gridCol w:w="806"/>
      <w:gridCol w:w="1007"/>
    </w:tblGrid>
    <w:tr w:rsidR="00873037" w:rsidRPr="003346F5" w:rsidTr="003346F5">
      <w:tc>
        <w:tcPr>
          <w:tcW w:w="3047" w:type="dxa"/>
          <w:vMerge w:val="restart"/>
          <w:shd w:val="clear" w:color="auto" w:fill="auto"/>
          <w:vAlign w:val="center"/>
        </w:tcPr>
        <w:p w:rsidR="00873037" w:rsidRPr="00BE09F1" w:rsidRDefault="00873037" w:rsidP="00873037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7" w:type="dxa"/>
          <w:gridSpan w:val="3"/>
          <w:shd w:val="clear" w:color="auto" w:fill="auto"/>
          <w:vAlign w:val="center"/>
        </w:tcPr>
        <w:p w:rsidR="00873037" w:rsidRPr="00BE09F1" w:rsidRDefault="00873037" w:rsidP="00873037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873037" w:rsidRPr="00395A90" w:rsidRDefault="00873037" w:rsidP="0087303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873037" w:rsidRPr="00D5672A" w:rsidTr="003346F5">
      <w:tc>
        <w:tcPr>
          <w:tcW w:w="3047" w:type="dxa"/>
          <w:vMerge/>
          <w:shd w:val="clear" w:color="auto" w:fill="auto"/>
          <w:vAlign w:val="center"/>
        </w:tcPr>
        <w:p w:rsidR="00873037" w:rsidRPr="003346F5" w:rsidRDefault="00873037" w:rsidP="00873037">
          <w:pPr>
            <w:ind w:right="-81"/>
            <w:rPr>
              <w:lang w:val="es-AR"/>
            </w:rPr>
          </w:pPr>
        </w:p>
      </w:tc>
      <w:tc>
        <w:tcPr>
          <w:tcW w:w="4574" w:type="dxa"/>
          <w:shd w:val="clear" w:color="auto" w:fill="auto"/>
          <w:vAlign w:val="center"/>
        </w:tcPr>
        <w:p w:rsidR="00873037" w:rsidRPr="003346F5" w:rsidRDefault="00873037" w:rsidP="00873037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6" w:type="dxa"/>
          <w:shd w:val="clear" w:color="auto" w:fill="auto"/>
          <w:vAlign w:val="center"/>
        </w:tcPr>
        <w:p w:rsidR="00873037" w:rsidRPr="00D5672A" w:rsidRDefault="00873037" w:rsidP="00873037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873037" w:rsidRPr="00D5672A" w:rsidRDefault="00873037" w:rsidP="00873037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7600EE" w:rsidRPr="00DF26C4" w:rsidTr="003346F5">
      <w:tc>
        <w:tcPr>
          <w:tcW w:w="3047" w:type="dxa"/>
          <w:vMerge/>
          <w:shd w:val="clear" w:color="auto" w:fill="auto"/>
          <w:vAlign w:val="center"/>
        </w:tcPr>
        <w:p w:rsidR="007600EE" w:rsidRPr="003346F5" w:rsidRDefault="007600EE" w:rsidP="007600EE">
          <w:pPr>
            <w:ind w:right="-81"/>
            <w:rPr>
              <w:lang w:val="es-AR"/>
            </w:rPr>
          </w:pPr>
        </w:p>
      </w:tc>
      <w:tc>
        <w:tcPr>
          <w:tcW w:w="4574" w:type="dxa"/>
          <w:vMerge w:val="restart"/>
          <w:shd w:val="clear" w:color="auto" w:fill="auto"/>
          <w:vAlign w:val="center"/>
        </w:tcPr>
        <w:p w:rsidR="007600EE" w:rsidRPr="003346F5" w:rsidRDefault="007600EE" w:rsidP="003346F5">
          <w:pPr>
            <w:ind w:right="-81"/>
            <w:rPr>
              <w:lang w:val="es-AR"/>
            </w:rPr>
          </w:pPr>
          <w:r w:rsidRPr="003346F5">
            <w:rPr>
              <w:lang w:val="es-AR"/>
            </w:rPr>
            <w:t xml:space="preserve">Título: </w:t>
          </w:r>
          <w:r w:rsidR="003346F5" w:rsidRPr="003346F5">
            <w:rPr>
              <w:lang w:val="es-AR"/>
            </w:rPr>
            <w:t xml:space="preserve">Sección </w:t>
          </w:r>
          <w:r w:rsidRPr="003346F5">
            <w:rPr>
              <w:lang w:val="es-AR"/>
            </w:rPr>
            <w:t>VIII</w:t>
          </w:r>
          <w:r w:rsidR="003346F5" w:rsidRPr="003346F5">
            <w:rPr>
              <w:lang w:val="es-AR"/>
            </w:rPr>
            <w:t xml:space="preserve"> </w:t>
          </w:r>
          <w:r w:rsidRPr="003346F5">
            <w:rPr>
              <w:lang w:val="es-AR"/>
            </w:rPr>
            <w:t xml:space="preserve">-500 </w:t>
          </w:r>
          <w:r w:rsidR="003346F5" w:rsidRPr="003346F5">
            <w:rPr>
              <w:lang w:val="es-AR"/>
            </w:rPr>
            <w:t>h2:</w:t>
          </w:r>
          <w:r w:rsidRPr="003346F5">
            <w:rPr>
              <w:lang w:val="es-AR"/>
            </w:rPr>
            <w:t xml:space="preserve"> E.T. Nº 12 </w:t>
          </w:r>
          <w:r w:rsidR="003346F5" w:rsidRPr="003346F5">
            <w:rPr>
              <w:lang w:val="es-AR"/>
            </w:rPr>
            <w:t>BALIZAMIENTO DIURNO Y NOCTURNO</w:t>
          </w:r>
        </w:p>
      </w:tc>
      <w:tc>
        <w:tcPr>
          <w:tcW w:w="806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7600EE" w:rsidRPr="00D5672A" w:rsidRDefault="003346F5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7600EE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7600EE" w:rsidRPr="00DF26C4" w:rsidTr="003346F5">
      <w:tc>
        <w:tcPr>
          <w:tcW w:w="3047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4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F56596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F56596">
            <w:rPr>
              <w:noProof/>
              <w:sz w:val="18"/>
              <w:szCs w:val="18"/>
              <w:lang w:val="es-ES"/>
            </w:rPr>
            <w:t>7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FC4339" w:rsidRDefault="00FC4339">
    <w:pPr>
      <w:ind w:right="-81"/>
      <w:rPr>
        <w:lang w:val="es-AR"/>
      </w:rPr>
    </w:pPr>
  </w:p>
  <w:p w:rsidR="00873037" w:rsidRDefault="00873037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6F5" w:rsidRPr="003C179E" w:rsidRDefault="003346F5" w:rsidP="003346F5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59722FE5" wp14:editId="0CA45D21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94" w:rsidRDefault="00F33694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7"/>
      <w:gridCol w:w="4574"/>
      <w:gridCol w:w="806"/>
      <w:gridCol w:w="1007"/>
    </w:tblGrid>
    <w:tr w:rsidR="00873037" w:rsidRPr="003346F5" w:rsidTr="003346F5">
      <w:tc>
        <w:tcPr>
          <w:tcW w:w="3047" w:type="dxa"/>
          <w:vMerge w:val="restart"/>
          <w:shd w:val="clear" w:color="auto" w:fill="auto"/>
          <w:vAlign w:val="center"/>
        </w:tcPr>
        <w:p w:rsidR="00873037" w:rsidRPr="00BE09F1" w:rsidRDefault="00873037" w:rsidP="00873037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7" w:type="dxa"/>
          <w:gridSpan w:val="3"/>
          <w:shd w:val="clear" w:color="auto" w:fill="auto"/>
          <w:vAlign w:val="center"/>
        </w:tcPr>
        <w:p w:rsidR="00873037" w:rsidRPr="00BE09F1" w:rsidRDefault="00873037" w:rsidP="00873037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873037" w:rsidRPr="00395A90" w:rsidRDefault="00873037" w:rsidP="0087303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873037" w:rsidRPr="00D5672A" w:rsidTr="003346F5">
      <w:tc>
        <w:tcPr>
          <w:tcW w:w="3047" w:type="dxa"/>
          <w:vMerge/>
          <w:shd w:val="clear" w:color="auto" w:fill="auto"/>
          <w:vAlign w:val="center"/>
        </w:tcPr>
        <w:p w:rsidR="00873037" w:rsidRPr="00873037" w:rsidRDefault="00873037" w:rsidP="00873037">
          <w:pPr>
            <w:ind w:right="-81"/>
            <w:rPr>
              <w:lang w:val="es-AR"/>
            </w:rPr>
          </w:pPr>
        </w:p>
      </w:tc>
      <w:tc>
        <w:tcPr>
          <w:tcW w:w="4574" w:type="dxa"/>
          <w:shd w:val="clear" w:color="auto" w:fill="auto"/>
          <w:vAlign w:val="center"/>
        </w:tcPr>
        <w:p w:rsidR="00873037" w:rsidRPr="00873037" w:rsidRDefault="00873037" w:rsidP="00873037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6" w:type="dxa"/>
          <w:shd w:val="clear" w:color="auto" w:fill="auto"/>
          <w:vAlign w:val="center"/>
        </w:tcPr>
        <w:p w:rsidR="00873037" w:rsidRPr="00D5672A" w:rsidRDefault="00873037" w:rsidP="00873037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873037" w:rsidRPr="00D5672A" w:rsidRDefault="00873037" w:rsidP="00873037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7600EE" w:rsidRPr="00DF26C4" w:rsidTr="003346F5">
      <w:tc>
        <w:tcPr>
          <w:tcW w:w="3047" w:type="dxa"/>
          <w:vMerge/>
          <w:shd w:val="clear" w:color="auto" w:fill="auto"/>
          <w:vAlign w:val="center"/>
        </w:tcPr>
        <w:p w:rsidR="007600EE" w:rsidRPr="00873037" w:rsidRDefault="007600EE" w:rsidP="007600EE">
          <w:pPr>
            <w:ind w:right="-81"/>
            <w:rPr>
              <w:lang w:val="es-AR"/>
            </w:rPr>
          </w:pPr>
        </w:p>
      </w:tc>
      <w:tc>
        <w:tcPr>
          <w:tcW w:w="4574" w:type="dxa"/>
          <w:vMerge w:val="restart"/>
          <w:shd w:val="clear" w:color="auto" w:fill="auto"/>
          <w:vAlign w:val="center"/>
        </w:tcPr>
        <w:p w:rsidR="007600EE" w:rsidRPr="00873037" w:rsidRDefault="007600EE" w:rsidP="00873037">
          <w:pPr>
            <w:ind w:right="-81"/>
            <w:rPr>
              <w:lang w:val="es-AR"/>
            </w:rPr>
          </w:pPr>
          <w:r w:rsidRPr="00873037">
            <w:rPr>
              <w:lang w:val="es-AR"/>
            </w:rPr>
            <w:t xml:space="preserve">Título: </w:t>
          </w:r>
          <w:r w:rsidR="00873037" w:rsidRPr="00873037">
            <w:rPr>
              <w:lang w:val="es-AR"/>
            </w:rPr>
            <w:t xml:space="preserve">Sección </w:t>
          </w:r>
          <w:r w:rsidRPr="00873037">
            <w:rPr>
              <w:lang w:val="es-AR"/>
            </w:rPr>
            <w:t>VIII</w:t>
          </w:r>
          <w:r w:rsidR="00873037" w:rsidRPr="00873037">
            <w:rPr>
              <w:lang w:val="es-AR"/>
            </w:rPr>
            <w:t xml:space="preserve"> </w:t>
          </w:r>
          <w:r w:rsidRPr="00873037">
            <w:rPr>
              <w:lang w:val="es-AR"/>
            </w:rPr>
            <w:t>h</w:t>
          </w:r>
          <w:r w:rsidR="00873037" w:rsidRPr="00873037">
            <w:rPr>
              <w:lang w:val="es-AR"/>
            </w:rPr>
            <w:t>2:</w:t>
          </w:r>
          <w:r w:rsidRPr="00873037">
            <w:rPr>
              <w:lang w:val="es-AR"/>
            </w:rPr>
            <w:t xml:space="preserve"> E.T. Nº 12 </w:t>
          </w:r>
          <w:r w:rsidR="00873037" w:rsidRPr="00873037">
            <w:rPr>
              <w:lang w:val="es-AR"/>
            </w:rPr>
            <w:t>BALIZAMIENTO DIURNO Y NOCTURNO</w:t>
          </w:r>
        </w:p>
      </w:tc>
      <w:tc>
        <w:tcPr>
          <w:tcW w:w="806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7600EE" w:rsidRPr="00D5672A" w:rsidRDefault="003346F5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7600EE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7600EE" w:rsidRPr="00DF26C4" w:rsidTr="003346F5">
      <w:tc>
        <w:tcPr>
          <w:tcW w:w="3047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4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7600EE" w:rsidRPr="00D5672A" w:rsidRDefault="007600EE" w:rsidP="003346F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6F112E">
            <w:rPr>
              <w:noProof/>
              <w:sz w:val="18"/>
              <w:szCs w:val="18"/>
              <w:lang w:val="es-AR"/>
            </w:rPr>
            <w:t>7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6F112E">
            <w:rPr>
              <w:noProof/>
              <w:sz w:val="18"/>
              <w:szCs w:val="18"/>
              <w:lang w:val="es-ES"/>
            </w:rPr>
            <w:t>7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F33694" w:rsidRDefault="00F33694">
    <w:pPr>
      <w:ind w:right="-81"/>
      <w:rPr>
        <w:lang w:val="es-AR"/>
      </w:rPr>
    </w:pPr>
  </w:p>
  <w:p w:rsidR="00873037" w:rsidRDefault="00873037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94" w:rsidRDefault="00F33694">
    <w:pPr>
      <w:rPr>
        <w:sz w:val="16"/>
        <w:szCs w:val="16"/>
      </w:rPr>
    </w:pPr>
  </w:p>
  <w:p w:rsidR="00F33694" w:rsidRDefault="00F33694">
    <w:pPr>
      <w:rPr>
        <w:sz w:val="16"/>
        <w:szCs w:val="16"/>
      </w:rPr>
    </w:pPr>
  </w:p>
  <w:p w:rsidR="00F33694" w:rsidRDefault="00F33694">
    <w:pPr>
      <w:rPr>
        <w:sz w:val="16"/>
        <w:szCs w:val="16"/>
      </w:rPr>
    </w:pPr>
  </w:p>
  <w:tbl>
    <w:tblPr>
      <w:tblW w:w="974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00"/>
      <w:gridCol w:w="4614"/>
      <w:gridCol w:w="807"/>
      <w:gridCol w:w="926"/>
    </w:tblGrid>
    <w:tr w:rsidR="007600EE" w:rsidRPr="003346F5" w:rsidTr="00B95581">
      <w:tc>
        <w:tcPr>
          <w:tcW w:w="3402" w:type="dxa"/>
          <w:vMerge w:val="restart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COMITE DE ADMINISTRACION DEL FONDO FIDUCIARIO PARA EL TRANSPORTE ELECTRICO FEDERAL</w:t>
          </w:r>
        </w:p>
      </w:tc>
      <w:tc>
        <w:tcPr>
          <w:tcW w:w="6345" w:type="dxa"/>
          <w:gridSpan w:val="3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Proyecto: Interconexión Eléctrica en 500 </w:t>
          </w:r>
          <w:proofErr w:type="spellStart"/>
          <w:r w:rsidRPr="00D5672A">
            <w:rPr>
              <w:sz w:val="18"/>
              <w:szCs w:val="18"/>
              <w:lang w:val="es-AR"/>
            </w:rPr>
            <w:t>kV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 E.T. </w:t>
          </w:r>
          <w:proofErr w:type="spellStart"/>
          <w:r w:rsidRPr="00D5672A">
            <w:rPr>
              <w:sz w:val="18"/>
              <w:szCs w:val="18"/>
              <w:lang w:val="es-AR"/>
            </w:rPr>
            <w:t>RÍo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Diamante – E.T. </w:t>
          </w:r>
          <w:r w:rsidR="00C67E5F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C67E5F">
            <w:rPr>
              <w:sz w:val="18"/>
              <w:szCs w:val="18"/>
              <w:lang w:val="es-AR"/>
            </w:rPr>
            <w:t>Charlone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– E.T. GBA </w:t>
          </w:r>
          <w:proofErr w:type="spellStart"/>
          <w:r w:rsidRPr="00D5672A">
            <w:rPr>
              <w:sz w:val="18"/>
              <w:szCs w:val="18"/>
              <w:lang w:val="es-AR"/>
            </w:rPr>
            <w:t>Iª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Parte  E.T. Río Diamante – E.T. </w:t>
          </w:r>
          <w:r w:rsidR="00C67E5F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C67E5F">
            <w:rPr>
              <w:sz w:val="18"/>
              <w:szCs w:val="18"/>
              <w:lang w:val="es-AR"/>
            </w:rPr>
            <w:t>Charlone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y Obras Complementarias</w:t>
          </w:r>
        </w:p>
      </w:tc>
    </w:tr>
    <w:tr w:rsidR="007600EE" w:rsidRPr="00D5672A" w:rsidTr="00B95581">
      <w:tc>
        <w:tcPr>
          <w:tcW w:w="3402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Obra: </w:t>
          </w:r>
          <w:r>
            <w:rPr>
              <w:sz w:val="18"/>
              <w:szCs w:val="18"/>
              <w:lang w:val="es-AR"/>
            </w:rPr>
            <w:t xml:space="preserve">LEAT 500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entre l</w:t>
          </w:r>
          <w:r w:rsidRPr="00D5672A">
            <w:rPr>
              <w:sz w:val="18"/>
              <w:szCs w:val="18"/>
              <w:lang w:val="es-AR"/>
            </w:rPr>
            <w:t xml:space="preserve">a E.T. </w:t>
          </w:r>
          <w:r>
            <w:rPr>
              <w:sz w:val="18"/>
              <w:szCs w:val="18"/>
              <w:lang w:val="es-AR"/>
            </w:rPr>
            <w:t xml:space="preserve">Río Diamante 500/220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y la Nueva E.T. </w:t>
          </w:r>
          <w:r w:rsidR="00C67E5F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C67E5F">
            <w:rPr>
              <w:sz w:val="18"/>
              <w:szCs w:val="18"/>
              <w:lang w:val="es-AR"/>
            </w:rPr>
            <w:t>Charlone</w:t>
          </w:r>
          <w:proofErr w:type="spellEnd"/>
          <w:r>
            <w:rPr>
              <w:sz w:val="18"/>
              <w:szCs w:val="18"/>
              <w:lang w:val="es-AR"/>
            </w:rPr>
            <w:t xml:space="preserve"> 500/132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a construir</w:t>
          </w:r>
        </w:p>
      </w:tc>
      <w:tc>
        <w:tcPr>
          <w:tcW w:w="807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19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01</w:t>
          </w:r>
        </w:p>
      </w:tc>
    </w:tr>
    <w:tr w:rsidR="007600EE" w:rsidRPr="00DF26C4" w:rsidTr="00B95581">
      <w:tc>
        <w:tcPr>
          <w:tcW w:w="3402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 w:val="restart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Título: </w:t>
          </w:r>
          <w:r>
            <w:rPr>
              <w:sz w:val="18"/>
              <w:szCs w:val="18"/>
              <w:lang w:val="es-AR"/>
            </w:rPr>
            <w:t xml:space="preserve">SECCION VIII-500 </w:t>
          </w:r>
          <w:proofErr w:type="spellStart"/>
          <w:r>
            <w:rPr>
              <w:sz w:val="18"/>
              <w:szCs w:val="18"/>
              <w:lang w:val="es-AR"/>
            </w:rPr>
            <w:t>kV.h</w:t>
          </w:r>
          <w:proofErr w:type="spellEnd"/>
          <w:r>
            <w:rPr>
              <w:sz w:val="18"/>
              <w:szCs w:val="18"/>
              <w:lang w:val="es-AR"/>
            </w:rPr>
            <w:t>. E.T. Nº 12 Balizamiento Diurno y Nocturno</w:t>
          </w:r>
        </w:p>
      </w:tc>
      <w:tc>
        <w:tcPr>
          <w:tcW w:w="807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19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proofErr w:type="spellStart"/>
          <w:r w:rsidRPr="00D5672A">
            <w:rPr>
              <w:sz w:val="18"/>
              <w:szCs w:val="18"/>
              <w:lang w:val="es-AR"/>
            </w:rPr>
            <w:t>May</w:t>
          </w:r>
          <w:proofErr w:type="spellEnd"/>
          <w:r w:rsidRPr="00D5672A">
            <w:rPr>
              <w:sz w:val="18"/>
              <w:szCs w:val="18"/>
              <w:lang w:val="es-AR"/>
            </w:rPr>
            <w:t>/2017</w:t>
          </w:r>
        </w:p>
      </w:tc>
    </w:tr>
    <w:tr w:rsidR="007600EE" w:rsidRPr="00DF26C4" w:rsidTr="00B95581">
      <w:tc>
        <w:tcPr>
          <w:tcW w:w="3402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19" w:type="dxa"/>
          <w:shd w:val="clear" w:color="auto" w:fill="auto"/>
          <w:vAlign w:val="center"/>
        </w:tcPr>
        <w:p w:rsidR="007600EE" w:rsidRPr="00D5672A" w:rsidRDefault="007600EE" w:rsidP="007600EE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>
            <w:rPr>
              <w:noProof/>
              <w:sz w:val="18"/>
              <w:szCs w:val="18"/>
              <w:lang w:val="es-AR"/>
            </w:rPr>
            <w:t>4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  <w:lang w:val="es-ES"/>
            </w:rPr>
            <w:t xml:space="preserve">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A5170F">
            <w:rPr>
              <w:noProof/>
              <w:sz w:val="18"/>
              <w:szCs w:val="18"/>
              <w:lang w:val="es-ES"/>
            </w:rPr>
            <w:t>7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F33694" w:rsidRDefault="00F33694">
    <w:pPr>
      <w:pStyle w:val="Encabezado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08A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84C4F"/>
    <w:multiLevelType w:val="hybridMultilevel"/>
    <w:tmpl w:val="8CF29F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C7109"/>
    <w:multiLevelType w:val="hybridMultilevel"/>
    <w:tmpl w:val="81DAED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12C4"/>
    <w:multiLevelType w:val="hybridMultilevel"/>
    <w:tmpl w:val="5E624E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5D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AAF5A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25AC76F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485E2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E9B2F7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309E60E2"/>
    <w:multiLevelType w:val="singleLevel"/>
    <w:tmpl w:val="33A47AF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338E016F"/>
    <w:multiLevelType w:val="hybridMultilevel"/>
    <w:tmpl w:val="52888C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A74F1"/>
    <w:multiLevelType w:val="hybridMultilevel"/>
    <w:tmpl w:val="3D065D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35639"/>
    <w:multiLevelType w:val="hybridMultilevel"/>
    <w:tmpl w:val="C5F01AEA"/>
    <w:lvl w:ilvl="0" w:tplc="D2A21E44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D5FC4"/>
    <w:multiLevelType w:val="hybridMultilevel"/>
    <w:tmpl w:val="96B28F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D3621"/>
    <w:multiLevelType w:val="hybridMultilevel"/>
    <w:tmpl w:val="C278F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F40A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3E067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51A159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51D7F4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A3A3931"/>
    <w:multiLevelType w:val="hybridMultilevel"/>
    <w:tmpl w:val="72DE36E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33BFA"/>
    <w:multiLevelType w:val="hybridMultilevel"/>
    <w:tmpl w:val="60BEBC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17124D"/>
    <w:multiLevelType w:val="hybridMultilevel"/>
    <w:tmpl w:val="B282D0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270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62412560"/>
    <w:multiLevelType w:val="hybridMultilevel"/>
    <w:tmpl w:val="0FBE6E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F12A6"/>
    <w:multiLevelType w:val="hybridMultilevel"/>
    <w:tmpl w:val="1CDA343A"/>
    <w:lvl w:ilvl="0" w:tplc="FFFFFFFF">
      <w:start w:val="1"/>
      <w:numFmt w:val="decimal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5" w15:restartNumberingAfterBreak="0">
    <w:nsid w:val="63B8555F"/>
    <w:multiLevelType w:val="singleLevel"/>
    <w:tmpl w:val="AB72E8AC"/>
    <w:lvl w:ilvl="0">
      <w:start w:val="1"/>
      <w:numFmt w:val="bullet"/>
      <w:pStyle w:val="TITULO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6C537E2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7AC47FF"/>
    <w:multiLevelType w:val="hybridMultilevel"/>
    <w:tmpl w:val="950A3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DD2E9F"/>
    <w:multiLevelType w:val="hybridMultilevel"/>
    <w:tmpl w:val="83A86B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0"/>
  </w:num>
  <w:num w:numId="4">
    <w:abstractNumId w:val="27"/>
  </w:num>
  <w:num w:numId="5">
    <w:abstractNumId w:val="8"/>
  </w:num>
  <w:num w:numId="6">
    <w:abstractNumId w:val="9"/>
  </w:num>
  <w:num w:numId="7">
    <w:abstractNumId w:val="18"/>
  </w:num>
  <w:num w:numId="8">
    <w:abstractNumId w:val="4"/>
  </w:num>
  <w:num w:numId="9">
    <w:abstractNumId w:val="17"/>
  </w:num>
  <w:num w:numId="10">
    <w:abstractNumId w:val="15"/>
  </w:num>
  <w:num w:numId="11">
    <w:abstractNumId w:val="22"/>
  </w:num>
  <w:num w:numId="12">
    <w:abstractNumId w:val="1"/>
  </w:num>
  <w:num w:numId="13">
    <w:abstractNumId w:val="11"/>
  </w:num>
  <w:num w:numId="14">
    <w:abstractNumId w:val="10"/>
  </w:num>
  <w:num w:numId="15">
    <w:abstractNumId w:val="23"/>
  </w:num>
  <w:num w:numId="16">
    <w:abstractNumId w:val="0"/>
  </w:num>
  <w:num w:numId="17">
    <w:abstractNumId w:val="16"/>
  </w:num>
  <w:num w:numId="18">
    <w:abstractNumId w:val="25"/>
  </w:num>
  <w:num w:numId="19">
    <w:abstractNumId w:val="2"/>
  </w:num>
  <w:num w:numId="20">
    <w:abstractNumId w:val="3"/>
  </w:num>
  <w:num w:numId="21">
    <w:abstractNumId w:val="14"/>
  </w:num>
  <w:num w:numId="22">
    <w:abstractNumId w:val="21"/>
  </w:num>
  <w:num w:numId="23">
    <w:abstractNumId w:val="28"/>
  </w:num>
  <w:num w:numId="24">
    <w:abstractNumId w:val="24"/>
  </w:num>
  <w:num w:numId="25">
    <w:abstractNumId w:val="26"/>
  </w:num>
  <w:num w:numId="26">
    <w:abstractNumId w:val="7"/>
  </w:num>
  <w:num w:numId="27">
    <w:abstractNumId w:val="12"/>
  </w:num>
  <w:num w:numId="28">
    <w:abstractNumId w:val="13"/>
  </w:num>
  <w:num w:numId="2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3692"/>
    <w:rsid w:val="000431DD"/>
    <w:rsid w:val="000534AC"/>
    <w:rsid w:val="000567D4"/>
    <w:rsid w:val="000619E8"/>
    <w:rsid w:val="000678F2"/>
    <w:rsid w:val="00070DB0"/>
    <w:rsid w:val="000717EC"/>
    <w:rsid w:val="0008455B"/>
    <w:rsid w:val="00096498"/>
    <w:rsid w:val="000B22FB"/>
    <w:rsid w:val="000C14CB"/>
    <w:rsid w:val="000C55A6"/>
    <w:rsid w:val="001150F2"/>
    <w:rsid w:val="001205B5"/>
    <w:rsid w:val="00121C16"/>
    <w:rsid w:val="001373F0"/>
    <w:rsid w:val="001557E9"/>
    <w:rsid w:val="00161712"/>
    <w:rsid w:val="00163CDF"/>
    <w:rsid w:val="00167AB4"/>
    <w:rsid w:val="0017293A"/>
    <w:rsid w:val="00185167"/>
    <w:rsid w:val="00194711"/>
    <w:rsid w:val="00194987"/>
    <w:rsid w:val="001B35EA"/>
    <w:rsid w:val="001C0873"/>
    <w:rsid w:val="001C40DB"/>
    <w:rsid w:val="001C683B"/>
    <w:rsid w:val="001D0277"/>
    <w:rsid w:val="001E07D2"/>
    <w:rsid w:val="001E246C"/>
    <w:rsid w:val="001F16E6"/>
    <w:rsid w:val="001F17BC"/>
    <w:rsid w:val="0020288C"/>
    <w:rsid w:val="00216BC3"/>
    <w:rsid w:val="0021722D"/>
    <w:rsid w:val="00224C4E"/>
    <w:rsid w:val="00250F64"/>
    <w:rsid w:val="00255642"/>
    <w:rsid w:val="00263278"/>
    <w:rsid w:val="00266E1A"/>
    <w:rsid w:val="00280236"/>
    <w:rsid w:val="00286203"/>
    <w:rsid w:val="00286616"/>
    <w:rsid w:val="00297070"/>
    <w:rsid w:val="002A33D4"/>
    <w:rsid w:val="002C0E5D"/>
    <w:rsid w:val="002C1AF4"/>
    <w:rsid w:val="002E0BE1"/>
    <w:rsid w:val="002F34A1"/>
    <w:rsid w:val="002F4D1A"/>
    <w:rsid w:val="002F7B46"/>
    <w:rsid w:val="003030C6"/>
    <w:rsid w:val="003038EC"/>
    <w:rsid w:val="003164D9"/>
    <w:rsid w:val="0033384B"/>
    <w:rsid w:val="003346F5"/>
    <w:rsid w:val="0034619F"/>
    <w:rsid w:val="00350FC9"/>
    <w:rsid w:val="00356F40"/>
    <w:rsid w:val="00360169"/>
    <w:rsid w:val="00360AA3"/>
    <w:rsid w:val="00363BD8"/>
    <w:rsid w:val="00371357"/>
    <w:rsid w:val="003861AF"/>
    <w:rsid w:val="0039629D"/>
    <w:rsid w:val="003A536E"/>
    <w:rsid w:val="003B1D9F"/>
    <w:rsid w:val="003B1EBC"/>
    <w:rsid w:val="003C7E2E"/>
    <w:rsid w:val="003D210A"/>
    <w:rsid w:val="003D5C75"/>
    <w:rsid w:val="003D6AA2"/>
    <w:rsid w:val="003E6A56"/>
    <w:rsid w:val="003F6803"/>
    <w:rsid w:val="0041174A"/>
    <w:rsid w:val="00422298"/>
    <w:rsid w:val="00426D3E"/>
    <w:rsid w:val="00475AA2"/>
    <w:rsid w:val="00482AC6"/>
    <w:rsid w:val="00495FF8"/>
    <w:rsid w:val="00496812"/>
    <w:rsid w:val="004B298D"/>
    <w:rsid w:val="004C0B30"/>
    <w:rsid w:val="004D00E2"/>
    <w:rsid w:val="004D6DB6"/>
    <w:rsid w:val="004E0F49"/>
    <w:rsid w:val="004E1183"/>
    <w:rsid w:val="004E48E3"/>
    <w:rsid w:val="004E5765"/>
    <w:rsid w:val="004F1F0D"/>
    <w:rsid w:val="005040EC"/>
    <w:rsid w:val="00505C2F"/>
    <w:rsid w:val="00505DA4"/>
    <w:rsid w:val="00507879"/>
    <w:rsid w:val="00511D27"/>
    <w:rsid w:val="00520EF3"/>
    <w:rsid w:val="00521366"/>
    <w:rsid w:val="005242B5"/>
    <w:rsid w:val="00527F23"/>
    <w:rsid w:val="005412B0"/>
    <w:rsid w:val="00561BDE"/>
    <w:rsid w:val="005977E1"/>
    <w:rsid w:val="005A0690"/>
    <w:rsid w:val="005B3A19"/>
    <w:rsid w:val="005C5EAE"/>
    <w:rsid w:val="005E274B"/>
    <w:rsid w:val="005E2C85"/>
    <w:rsid w:val="005F428E"/>
    <w:rsid w:val="005F4720"/>
    <w:rsid w:val="006224A5"/>
    <w:rsid w:val="0062251D"/>
    <w:rsid w:val="00624169"/>
    <w:rsid w:val="00642B9A"/>
    <w:rsid w:val="00650CBD"/>
    <w:rsid w:val="00656A3B"/>
    <w:rsid w:val="00684851"/>
    <w:rsid w:val="006B3CD4"/>
    <w:rsid w:val="006D3BA0"/>
    <w:rsid w:val="006D69B4"/>
    <w:rsid w:val="006F112E"/>
    <w:rsid w:val="00720102"/>
    <w:rsid w:val="00724870"/>
    <w:rsid w:val="00731484"/>
    <w:rsid w:val="00732918"/>
    <w:rsid w:val="00734EDA"/>
    <w:rsid w:val="007478A6"/>
    <w:rsid w:val="00753003"/>
    <w:rsid w:val="00753557"/>
    <w:rsid w:val="007565E4"/>
    <w:rsid w:val="007600EE"/>
    <w:rsid w:val="00761606"/>
    <w:rsid w:val="00767734"/>
    <w:rsid w:val="00780863"/>
    <w:rsid w:val="00790E99"/>
    <w:rsid w:val="00793BF2"/>
    <w:rsid w:val="007A6FC1"/>
    <w:rsid w:val="007B47EA"/>
    <w:rsid w:val="007D209C"/>
    <w:rsid w:val="007D7AA6"/>
    <w:rsid w:val="007D7BE5"/>
    <w:rsid w:val="007E07C7"/>
    <w:rsid w:val="007F47C3"/>
    <w:rsid w:val="00802E1E"/>
    <w:rsid w:val="008307CD"/>
    <w:rsid w:val="00847D71"/>
    <w:rsid w:val="00850EE9"/>
    <w:rsid w:val="00854A58"/>
    <w:rsid w:val="00864677"/>
    <w:rsid w:val="00867DF9"/>
    <w:rsid w:val="00873037"/>
    <w:rsid w:val="00874A54"/>
    <w:rsid w:val="00874F89"/>
    <w:rsid w:val="008976A6"/>
    <w:rsid w:val="008A3ABB"/>
    <w:rsid w:val="008A7ED1"/>
    <w:rsid w:val="008C0456"/>
    <w:rsid w:val="008C43E8"/>
    <w:rsid w:val="008C680A"/>
    <w:rsid w:val="008D6874"/>
    <w:rsid w:val="008E2604"/>
    <w:rsid w:val="008E2B37"/>
    <w:rsid w:val="008F10A1"/>
    <w:rsid w:val="008F3BA9"/>
    <w:rsid w:val="00907A3D"/>
    <w:rsid w:val="0092515A"/>
    <w:rsid w:val="00931935"/>
    <w:rsid w:val="00934729"/>
    <w:rsid w:val="009504A2"/>
    <w:rsid w:val="00960AF3"/>
    <w:rsid w:val="00991957"/>
    <w:rsid w:val="00996B49"/>
    <w:rsid w:val="009A1954"/>
    <w:rsid w:val="009B6FBE"/>
    <w:rsid w:val="009C1AE3"/>
    <w:rsid w:val="009E055B"/>
    <w:rsid w:val="009E2A57"/>
    <w:rsid w:val="00A010FE"/>
    <w:rsid w:val="00A117E8"/>
    <w:rsid w:val="00A12D23"/>
    <w:rsid w:val="00A15E63"/>
    <w:rsid w:val="00A16025"/>
    <w:rsid w:val="00A21BCD"/>
    <w:rsid w:val="00A25F68"/>
    <w:rsid w:val="00A40574"/>
    <w:rsid w:val="00A41595"/>
    <w:rsid w:val="00A5170F"/>
    <w:rsid w:val="00A53E90"/>
    <w:rsid w:val="00A574B6"/>
    <w:rsid w:val="00A62C3C"/>
    <w:rsid w:val="00B06052"/>
    <w:rsid w:val="00B072EB"/>
    <w:rsid w:val="00B1185B"/>
    <w:rsid w:val="00B17ED7"/>
    <w:rsid w:val="00B2379A"/>
    <w:rsid w:val="00B30BF9"/>
    <w:rsid w:val="00B562C1"/>
    <w:rsid w:val="00B612FB"/>
    <w:rsid w:val="00B72DEA"/>
    <w:rsid w:val="00B774F5"/>
    <w:rsid w:val="00B83305"/>
    <w:rsid w:val="00B921AF"/>
    <w:rsid w:val="00B96FFC"/>
    <w:rsid w:val="00BA0AEA"/>
    <w:rsid w:val="00BB0987"/>
    <w:rsid w:val="00BC7582"/>
    <w:rsid w:val="00BD1CA5"/>
    <w:rsid w:val="00BD54A8"/>
    <w:rsid w:val="00BF4950"/>
    <w:rsid w:val="00C10FCF"/>
    <w:rsid w:val="00C134A8"/>
    <w:rsid w:val="00C15949"/>
    <w:rsid w:val="00C17EE4"/>
    <w:rsid w:val="00C267DA"/>
    <w:rsid w:val="00C273BD"/>
    <w:rsid w:val="00C35187"/>
    <w:rsid w:val="00C42B91"/>
    <w:rsid w:val="00C51ABD"/>
    <w:rsid w:val="00C57575"/>
    <w:rsid w:val="00C67E5F"/>
    <w:rsid w:val="00C7171C"/>
    <w:rsid w:val="00C72F13"/>
    <w:rsid w:val="00C758B5"/>
    <w:rsid w:val="00CC3629"/>
    <w:rsid w:val="00CC4145"/>
    <w:rsid w:val="00CC47A6"/>
    <w:rsid w:val="00CD55AD"/>
    <w:rsid w:val="00CF3DE2"/>
    <w:rsid w:val="00D0092E"/>
    <w:rsid w:val="00D131E4"/>
    <w:rsid w:val="00D25B98"/>
    <w:rsid w:val="00D44C7D"/>
    <w:rsid w:val="00D76463"/>
    <w:rsid w:val="00D76EF1"/>
    <w:rsid w:val="00D77D46"/>
    <w:rsid w:val="00DC32CA"/>
    <w:rsid w:val="00DD1334"/>
    <w:rsid w:val="00DE4DE2"/>
    <w:rsid w:val="00DF43CE"/>
    <w:rsid w:val="00E10F21"/>
    <w:rsid w:val="00E31741"/>
    <w:rsid w:val="00E32785"/>
    <w:rsid w:val="00E5054D"/>
    <w:rsid w:val="00E50E1F"/>
    <w:rsid w:val="00E5499F"/>
    <w:rsid w:val="00E73DDD"/>
    <w:rsid w:val="00E95796"/>
    <w:rsid w:val="00EA0EA9"/>
    <w:rsid w:val="00ED03ED"/>
    <w:rsid w:val="00ED7841"/>
    <w:rsid w:val="00EF56E7"/>
    <w:rsid w:val="00EF7278"/>
    <w:rsid w:val="00F14806"/>
    <w:rsid w:val="00F15005"/>
    <w:rsid w:val="00F27809"/>
    <w:rsid w:val="00F331C1"/>
    <w:rsid w:val="00F33694"/>
    <w:rsid w:val="00F56596"/>
    <w:rsid w:val="00F67D55"/>
    <w:rsid w:val="00F72B19"/>
    <w:rsid w:val="00F77992"/>
    <w:rsid w:val="00F8322C"/>
    <w:rsid w:val="00F97206"/>
    <w:rsid w:val="00FB3D82"/>
    <w:rsid w:val="00FB4B74"/>
    <w:rsid w:val="00FC2B4F"/>
    <w:rsid w:val="00FC4339"/>
    <w:rsid w:val="00FC78AA"/>
    <w:rsid w:val="00FC7E95"/>
    <w:rsid w:val="00FD27C6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8E0A9C-1130-4A5C-BE19-2032FA84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C9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350FC9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link w:val="Ttulo2Car"/>
    <w:qFormat/>
    <w:rsid w:val="00350FC9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link w:val="Ttulo3Car"/>
    <w:qFormat/>
    <w:rsid w:val="00350FC9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350FC9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350FC9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350FC9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350FC9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350FC9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350FC9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350FC9"/>
    <w:pPr>
      <w:ind w:left="708"/>
    </w:pPr>
  </w:style>
  <w:style w:type="paragraph" w:customStyle="1" w:styleId="Para">
    <w:name w:val="Para"/>
    <w:basedOn w:val="Normal"/>
    <w:rsid w:val="00350FC9"/>
    <w:rPr>
      <w:sz w:val="36"/>
    </w:rPr>
  </w:style>
  <w:style w:type="paragraph" w:customStyle="1" w:styleId="ParaCompaia">
    <w:name w:val="ParaCompañia"/>
    <w:basedOn w:val="Normal"/>
    <w:rsid w:val="00350FC9"/>
    <w:rPr>
      <w:sz w:val="28"/>
    </w:rPr>
  </w:style>
  <w:style w:type="paragraph" w:customStyle="1" w:styleId="ParaFax">
    <w:name w:val="ParaFax"/>
    <w:basedOn w:val="Normal"/>
    <w:rsid w:val="00350FC9"/>
    <w:rPr>
      <w:sz w:val="28"/>
    </w:rPr>
  </w:style>
  <w:style w:type="paragraph" w:customStyle="1" w:styleId="De">
    <w:name w:val="De"/>
    <w:basedOn w:val="Normal"/>
    <w:rsid w:val="00350FC9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350FC9"/>
    <w:rPr>
      <w:sz w:val="28"/>
    </w:rPr>
  </w:style>
  <w:style w:type="paragraph" w:customStyle="1" w:styleId="DeTelfono">
    <w:name w:val="DeTeléfono"/>
    <w:basedOn w:val="Normal"/>
    <w:rsid w:val="00350FC9"/>
    <w:rPr>
      <w:sz w:val="28"/>
    </w:rPr>
  </w:style>
  <w:style w:type="paragraph" w:customStyle="1" w:styleId="DeFax">
    <w:name w:val="DeFax"/>
    <w:basedOn w:val="Normal"/>
    <w:rsid w:val="00350FC9"/>
    <w:rPr>
      <w:sz w:val="28"/>
    </w:rPr>
  </w:style>
  <w:style w:type="paragraph" w:customStyle="1" w:styleId="Fecha1">
    <w:name w:val="Fecha1"/>
    <w:basedOn w:val="Normal"/>
    <w:rsid w:val="00350FC9"/>
    <w:pPr>
      <w:spacing w:before="360"/>
    </w:pPr>
    <w:rPr>
      <w:sz w:val="28"/>
    </w:rPr>
  </w:style>
  <w:style w:type="paragraph" w:customStyle="1" w:styleId="Paginas">
    <w:name w:val="Paginas"/>
    <w:basedOn w:val="Normal"/>
    <w:rsid w:val="00350FC9"/>
    <w:rPr>
      <w:sz w:val="28"/>
    </w:rPr>
  </w:style>
  <w:style w:type="paragraph" w:customStyle="1" w:styleId="Comentarios">
    <w:name w:val="Comentarios"/>
    <w:basedOn w:val="Normal"/>
    <w:next w:val="Normal"/>
    <w:rsid w:val="00350FC9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350FC9"/>
  </w:style>
  <w:style w:type="paragraph" w:styleId="Encabezado">
    <w:name w:val="header"/>
    <w:basedOn w:val="Normal"/>
    <w:link w:val="EncabezadoCar"/>
    <w:uiPriority w:val="99"/>
    <w:rsid w:val="00350FC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50FC9"/>
  </w:style>
  <w:style w:type="character" w:styleId="Hipervnculo">
    <w:name w:val="Hyperlink"/>
    <w:basedOn w:val="Fuentedeprrafopredeter"/>
    <w:semiHidden/>
    <w:rsid w:val="00350FC9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350FC9"/>
    <w:rPr>
      <w:color w:val="800080"/>
      <w:u w:val="single"/>
    </w:rPr>
  </w:style>
  <w:style w:type="paragraph" w:styleId="Textoindependiente">
    <w:name w:val="Body Text"/>
    <w:basedOn w:val="Normal"/>
    <w:semiHidden/>
    <w:rsid w:val="00350FC9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350FC9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50FC9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350FC9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350FC9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350FC9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350FC9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350FC9"/>
  </w:style>
  <w:style w:type="paragraph" w:customStyle="1" w:styleId="Ttulo40">
    <w:name w:val="Título4"/>
    <w:basedOn w:val="Normal"/>
    <w:rsid w:val="00350FC9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350FC9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350FC9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350FC9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350FC9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350FC9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350FC9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350FC9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350FC9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350FC9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350FC9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350FC9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350FC9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350FC9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350FC9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350FC9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350FC9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350FC9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350FC9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350FC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350FC9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350FC9"/>
    <w:pPr>
      <w:ind w:left="600"/>
    </w:pPr>
  </w:style>
  <w:style w:type="paragraph" w:styleId="TDC1">
    <w:name w:val="toc 1"/>
    <w:basedOn w:val="Normal"/>
    <w:next w:val="Normal"/>
    <w:autoRedefine/>
    <w:semiHidden/>
    <w:rsid w:val="00350FC9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350FC9"/>
    <w:pPr>
      <w:ind w:left="800"/>
    </w:pPr>
  </w:style>
  <w:style w:type="paragraph" w:styleId="TDC6">
    <w:name w:val="toc 6"/>
    <w:basedOn w:val="Normal"/>
    <w:next w:val="Normal"/>
    <w:autoRedefine/>
    <w:semiHidden/>
    <w:rsid w:val="00350FC9"/>
    <w:pPr>
      <w:ind w:left="1000"/>
    </w:pPr>
  </w:style>
  <w:style w:type="paragraph" w:styleId="TDC7">
    <w:name w:val="toc 7"/>
    <w:basedOn w:val="Normal"/>
    <w:next w:val="Normal"/>
    <w:autoRedefine/>
    <w:semiHidden/>
    <w:rsid w:val="00350FC9"/>
    <w:pPr>
      <w:ind w:left="1200"/>
    </w:pPr>
  </w:style>
  <w:style w:type="paragraph" w:styleId="TDC8">
    <w:name w:val="toc 8"/>
    <w:basedOn w:val="Normal"/>
    <w:next w:val="Normal"/>
    <w:autoRedefine/>
    <w:semiHidden/>
    <w:rsid w:val="00350FC9"/>
    <w:pPr>
      <w:ind w:left="1400"/>
    </w:pPr>
  </w:style>
  <w:style w:type="paragraph" w:styleId="TDC9">
    <w:name w:val="toc 9"/>
    <w:basedOn w:val="Normal"/>
    <w:next w:val="Normal"/>
    <w:autoRedefine/>
    <w:semiHidden/>
    <w:rsid w:val="00350FC9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55642"/>
    <w:pPr>
      <w:widowControl w:val="0"/>
      <w:tabs>
        <w:tab w:val="left" w:pos="0"/>
      </w:tabs>
      <w:spacing w:line="360" w:lineRule="auto"/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Arial12">
    <w:name w:val="Arial 12"/>
    <w:basedOn w:val="Normal"/>
    <w:rsid w:val="00505C2F"/>
    <w:pPr>
      <w:jc w:val="both"/>
    </w:pPr>
    <w:rPr>
      <w:rFonts w:cs="Arial"/>
      <w:b/>
      <w:bCs/>
      <w:snapToGrid w:val="0"/>
      <w:sz w:val="24"/>
      <w:lang w:val="es-ES_tradnl" w:eastAsia="es-ES"/>
    </w:rPr>
  </w:style>
  <w:style w:type="paragraph" w:customStyle="1" w:styleId="TxBrp0">
    <w:name w:val="TxBr_p0"/>
    <w:basedOn w:val="Normal"/>
    <w:rsid w:val="00DF43CE"/>
    <w:pPr>
      <w:widowControl w:val="0"/>
      <w:tabs>
        <w:tab w:val="left" w:pos="204"/>
      </w:tabs>
      <w:spacing w:line="24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DF43C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3">
    <w:name w:val="TITULO 3"/>
    <w:basedOn w:val="Normal"/>
    <w:autoRedefine/>
    <w:rsid w:val="00F33694"/>
    <w:pPr>
      <w:widowControl w:val="0"/>
      <w:tabs>
        <w:tab w:val="left" w:pos="685"/>
        <w:tab w:val="left" w:pos="3463"/>
      </w:tabs>
      <w:spacing w:line="480" w:lineRule="auto"/>
      <w:jc w:val="both"/>
    </w:pPr>
    <w:rPr>
      <w:b/>
      <w:caps/>
      <w:snapToGrid w:val="0"/>
      <w:sz w:val="22"/>
      <w:lang w:val="es-ES" w:eastAsia="es-ES"/>
    </w:rPr>
  </w:style>
  <w:style w:type="paragraph" w:customStyle="1" w:styleId="TITULO5">
    <w:name w:val="TITULO 5"/>
    <w:basedOn w:val="Normal"/>
    <w:autoRedefine/>
    <w:rsid w:val="00A53E90"/>
    <w:pPr>
      <w:widowControl w:val="0"/>
      <w:numPr>
        <w:numId w:val="18"/>
      </w:numPr>
      <w:tabs>
        <w:tab w:val="clear" w:pos="720"/>
        <w:tab w:val="left" w:pos="748"/>
        <w:tab w:val="left" w:pos="851"/>
      </w:tabs>
      <w:ind w:left="734"/>
      <w:jc w:val="both"/>
    </w:pPr>
    <w:rPr>
      <w:snapToGrid w:val="0"/>
      <w:sz w:val="22"/>
      <w:lang w:val="es-AR" w:eastAsia="es-ES"/>
    </w:rPr>
  </w:style>
  <w:style w:type="character" w:styleId="Refdenotaalpie">
    <w:name w:val="footnote reference"/>
    <w:basedOn w:val="Fuentedeprrafopredeter"/>
    <w:semiHidden/>
    <w:rsid w:val="00A53E90"/>
    <w:rPr>
      <w:vertAlign w:val="superscript"/>
    </w:rPr>
  </w:style>
  <w:style w:type="paragraph" w:customStyle="1" w:styleId="TITULO4">
    <w:name w:val="TITULO 4"/>
    <w:basedOn w:val="Normal"/>
    <w:autoRedefine/>
    <w:rsid w:val="00873037"/>
    <w:pPr>
      <w:widowControl w:val="0"/>
      <w:tabs>
        <w:tab w:val="left" w:pos="685"/>
        <w:tab w:val="left" w:pos="3463"/>
      </w:tabs>
      <w:spacing w:after="120"/>
      <w:jc w:val="both"/>
    </w:pPr>
    <w:rPr>
      <w:b/>
      <w:bCs/>
      <w:caps/>
      <w:snapToGrid w:val="0"/>
      <w:sz w:val="22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D7841"/>
    <w:rPr>
      <w:rFonts w:ascii="Arial" w:hAnsi="Arial"/>
      <w:sz w:val="22"/>
      <w:lang w:eastAsia="es-ES"/>
    </w:rPr>
  </w:style>
  <w:style w:type="character" w:customStyle="1" w:styleId="Ttulo2Car">
    <w:name w:val="Título 2 Car"/>
    <w:aliases w:val="s2 Car,Sub2 Car"/>
    <w:basedOn w:val="Fuentedeprrafopredeter"/>
    <w:link w:val="Ttulo2"/>
    <w:rsid w:val="00013692"/>
    <w:rPr>
      <w:rFonts w:ascii="Arial" w:hAnsi="Arial"/>
      <w:b/>
      <w:sz w:val="24"/>
      <w:lang w:val="en-GB" w:eastAsia="es-AR"/>
    </w:rPr>
  </w:style>
  <w:style w:type="character" w:customStyle="1" w:styleId="Ttulo3Car">
    <w:name w:val="Título 3 Car"/>
    <w:basedOn w:val="Fuentedeprrafopredeter"/>
    <w:link w:val="Ttulo3"/>
    <w:rsid w:val="00013692"/>
    <w:rPr>
      <w:b/>
      <w:sz w:val="24"/>
      <w:lang w:val="en-GB" w:eastAsia="es-AR"/>
    </w:rPr>
  </w:style>
  <w:style w:type="paragraph" w:customStyle="1" w:styleId="TituloArial12">
    <w:name w:val="Titulo Arial 12"/>
    <w:basedOn w:val="Normal"/>
    <w:rsid w:val="00013692"/>
    <w:rPr>
      <w:rFonts w:cs="Arial"/>
      <w:b/>
      <w:bCs/>
      <w:sz w:val="24"/>
      <w:lang w:val="es-ES_tradnl" w:eastAsia="es-ES"/>
    </w:rPr>
  </w:style>
  <w:style w:type="paragraph" w:customStyle="1" w:styleId="TextoArial11">
    <w:name w:val="Texto Arial 11"/>
    <w:basedOn w:val="Normal"/>
    <w:rsid w:val="00013692"/>
    <w:rPr>
      <w:rFonts w:cs="Arial"/>
      <w:sz w:val="22"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3346F5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1868</Words>
  <Characters>10278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12122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dc:description>Sección VIII h2: ET Nº 12 Balizamiento Diurno y Nocturno_x000d_
Rev 03 corrigido por (ao) el 30/08/2018</dc:description>
  <cp:lastModifiedBy>Alfredo Otero</cp:lastModifiedBy>
  <cp:revision>3</cp:revision>
  <cp:lastPrinted>2017-09-13T17:32:00Z</cp:lastPrinted>
  <dcterms:created xsi:type="dcterms:W3CDTF">2018-09-18T17:20:00Z</dcterms:created>
  <dcterms:modified xsi:type="dcterms:W3CDTF">2018-09-18T17:23:00Z</dcterms:modified>
</cp:coreProperties>
</file>