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both"/>
        <w:rPr>
          <w:sz w:val="24"/>
          <w:szCs w:val="24"/>
        </w:rPr>
      </w:pPr>
      <w:r w:rsidDel="00000000" w:rsidR="00000000" w:rsidRPr="00000000">
        <w:rPr>
          <w:b w:val="1"/>
          <w:sz w:val="24"/>
          <w:szCs w:val="24"/>
          <w:rtl w:val="0"/>
        </w:rPr>
        <w:t xml:space="preserve">Objetivo:</w:t>
      </w:r>
      <w:r w:rsidDel="00000000" w:rsidR="00000000" w:rsidRPr="00000000">
        <w:rPr>
          <w:sz w:val="24"/>
          <w:szCs w:val="24"/>
          <w:rtl w:val="0"/>
        </w:rPr>
        <w:t xml:space="preserve"> A través de este nuevo módulo en el Sistema de Gestión, los usuarios pueden ingresar grupos de presentaciones en forma masiva.</w:t>
      </w:r>
    </w:p>
    <w:p w:rsidR="00000000" w:rsidDel="00000000" w:rsidP="00000000" w:rsidRDefault="00000000" w:rsidRPr="00000000" w14:paraId="00000002">
      <w:pPr>
        <w:spacing w:after="200" w:lineRule="auto"/>
        <w:jc w:val="both"/>
        <w:rPr>
          <w:sz w:val="24"/>
          <w:szCs w:val="24"/>
        </w:rPr>
      </w:pPr>
      <w:r w:rsidDel="00000000" w:rsidR="00000000" w:rsidRPr="00000000">
        <w:rPr>
          <w:sz w:val="24"/>
          <w:szCs w:val="24"/>
          <w:rtl w:val="0"/>
        </w:rPr>
        <w:t xml:space="preserve">La idea es ingresar varias presentaciones a través de internet y así simplificar la presentación de lotes sometidos a fiscalización, generando un puente entre las aplicaciones de los clientes externos y el servidor del INASE. Este canal de comunicación se sustenta en la generación de un archivo de tipo CSV o TXT, con un formato uniforme, que la aplicación del Organismo interpreta y puede procesar.</w:t>
      </w:r>
    </w:p>
    <w:p w:rsidR="00000000" w:rsidDel="00000000" w:rsidP="00000000" w:rsidRDefault="00000000" w:rsidRPr="00000000" w14:paraId="00000003">
      <w:pPr>
        <w:spacing w:after="200" w:lineRule="auto"/>
        <w:jc w:val="both"/>
        <w:rPr>
          <w:b w:val="1"/>
          <w:sz w:val="24"/>
          <w:szCs w:val="24"/>
        </w:rPr>
      </w:pPr>
      <w:r w:rsidDel="00000000" w:rsidR="00000000" w:rsidRPr="00000000">
        <w:rPr>
          <w:b w:val="1"/>
          <w:sz w:val="24"/>
          <w:szCs w:val="24"/>
          <w:rtl w:val="0"/>
        </w:rPr>
        <w:t xml:space="preserve">Alcance: </w:t>
      </w:r>
      <w:r w:rsidDel="00000000" w:rsidR="00000000" w:rsidRPr="00000000">
        <w:rPr>
          <w:sz w:val="24"/>
          <w:szCs w:val="24"/>
          <w:rtl w:val="0"/>
        </w:rPr>
        <w:t xml:space="preserve">Se podrá realizar presentaciones de lotes de cualquier especie para el Sistema Nacional únicamente, en esta primera etapa.</w:t>
      </w:r>
      <w:r w:rsidDel="00000000" w:rsidR="00000000" w:rsidRPr="00000000">
        <w:rPr>
          <w:rtl w:val="0"/>
        </w:rPr>
      </w:r>
    </w:p>
    <w:p w:rsidR="00000000" w:rsidDel="00000000" w:rsidP="00000000" w:rsidRDefault="00000000" w:rsidRPr="00000000" w14:paraId="00000004">
      <w:pPr>
        <w:spacing w:after="200" w:lineRule="auto"/>
        <w:jc w:val="both"/>
        <w:rPr>
          <w:b w:val="1"/>
          <w:sz w:val="24"/>
          <w:szCs w:val="24"/>
        </w:rPr>
      </w:pPr>
      <w:r w:rsidDel="00000000" w:rsidR="00000000" w:rsidRPr="00000000">
        <w:rPr>
          <w:b w:val="1"/>
          <w:sz w:val="24"/>
          <w:szCs w:val="24"/>
          <w:rtl w:val="0"/>
        </w:rPr>
        <w:t xml:space="preserve">Procedimiento para ingresar presentaciones a través de la Carga Masiva</w:t>
      </w:r>
    </w:p>
    <w:p w:rsidR="00000000" w:rsidDel="00000000" w:rsidP="00000000" w:rsidRDefault="00000000" w:rsidRPr="00000000" w14:paraId="00000005">
      <w:pPr>
        <w:numPr>
          <w:ilvl w:val="0"/>
          <w:numId w:val="1"/>
        </w:numPr>
        <w:ind w:left="720" w:hanging="360"/>
        <w:jc w:val="both"/>
        <w:rPr>
          <w:sz w:val="24"/>
          <w:szCs w:val="24"/>
        </w:rPr>
      </w:pPr>
      <w:r w:rsidDel="00000000" w:rsidR="00000000" w:rsidRPr="00000000">
        <w:rPr>
          <w:sz w:val="24"/>
          <w:szCs w:val="24"/>
          <w:rtl w:val="0"/>
        </w:rPr>
        <w:t xml:space="preserve">Generar archivo codificado con extensión CSV o txt.</w:t>
      </w:r>
    </w:p>
    <w:p w:rsidR="00000000" w:rsidDel="00000000" w:rsidP="00000000" w:rsidRDefault="00000000" w:rsidRPr="00000000" w14:paraId="00000006">
      <w:pPr>
        <w:numPr>
          <w:ilvl w:val="0"/>
          <w:numId w:val="1"/>
        </w:numPr>
        <w:ind w:left="720" w:hanging="360"/>
        <w:jc w:val="both"/>
        <w:rPr>
          <w:sz w:val="24"/>
          <w:szCs w:val="24"/>
          <w:u w:val="none"/>
        </w:rPr>
      </w:pPr>
      <w:r w:rsidDel="00000000" w:rsidR="00000000" w:rsidRPr="00000000">
        <w:rPr>
          <w:sz w:val="24"/>
          <w:szCs w:val="24"/>
          <w:rtl w:val="0"/>
        </w:rPr>
        <w:t xml:space="preserve">Ingresar al sistema de gestión, módulo Fiscalización y seleccionar la opción “Carga masiva de datos”.</w:t>
      </w:r>
    </w:p>
    <w:p w:rsidR="00000000" w:rsidDel="00000000" w:rsidP="00000000" w:rsidRDefault="00000000" w:rsidRPr="00000000" w14:paraId="00000007">
      <w:pPr>
        <w:numPr>
          <w:ilvl w:val="0"/>
          <w:numId w:val="1"/>
        </w:numPr>
        <w:ind w:left="720" w:hanging="360"/>
        <w:jc w:val="both"/>
        <w:rPr>
          <w:sz w:val="24"/>
          <w:szCs w:val="24"/>
          <w:u w:val="none"/>
        </w:rPr>
      </w:pPr>
      <w:r w:rsidDel="00000000" w:rsidR="00000000" w:rsidRPr="00000000">
        <w:rPr>
          <w:sz w:val="24"/>
          <w:szCs w:val="24"/>
          <w:rtl w:val="0"/>
        </w:rPr>
        <w:t xml:space="preserve">Seleccionar de los combos la campaña y el director técnico.</w:t>
      </w:r>
    </w:p>
    <w:p w:rsidR="00000000" w:rsidDel="00000000" w:rsidP="00000000" w:rsidRDefault="00000000" w:rsidRPr="00000000" w14:paraId="00000008">
      <w:pPr>
        <w:numPr>
          <w:ilvl w:val="0"/>
          <w:numId w:val="1"/>
        </w:numPr>
        <w:ind w:left="720" w:hanging="360"/>
        <w:jc w:val="both"/>
        <w:rPr>
          <w:sz w:val="24"/>
          <w:szCs w:val="24"/>
          <w:u w:val="none"/>
        </w:rPr>
      </w:pPr>
      <w:r w:rsidDel="00000000" w:rsidR="00000000" w:rsidRPr="00000000">
        <w:rPr>
          <w:sz w:val="24"/>
          <w:szCs w:val="24"/>
          <w:rtl w:val="0"/>
        </w:rPr>
        <w:t xml:space="preserve">Presionar el botón examinar para buscar el archivo (*.csv o *.txt) correspondiente en su equipo local.</w:t>
      </w:r>
    </w:p>
    <w:p w:rsidR="00000000" w:rsidDel="00000000" w:rsidP="00000000" w:rsidRDefault="00000000" w:rsidRPr="00000000" w14:paraId="00000009">
      <w:pPr>
        <w:numPr>
          <w:ilvl w:val="0"/>
          <w:numId w:val="1"/>
        </w:numPr>
        <w:ind w:left="720" w:hanging="360"/>
        <w:jc w:val="both"/>
        <w:rPr>
          <w:sz w:val="24"/>
          <w:szCs w:val="24"/>
          <w:u w:val="none"/>
        </w:rPr>
      </w:pPr>
      <w:r w:rsidDel="00000000" w:rsidR="00000000" w:rsidRPr="00000000">
        <w:rPr>
          <w:sz w:val="24"/>
          <w:szCs w:val="24"/>
          <w:rtl w:val="0"/>
        </w:rPr>
        <w:t xml:space="preserve">Una vez seleccionado el archivo con la carga masiva presionar el botón “Carga Masiva”.</w:t>
      </w:r>
    </w:p>
    <w:p w:rsidR="00000000" w:rsidDel="00000000" w:rsidP="00000000" w:rsidRDefault="00000000" w:rsidRPr="00000000" w14:paraId="0000000A">
      <w:pPr>
        <w:numPr>
          <w:ilvl w:val="0"/>
          <w:numId w:val="1"/>
        </w:numPr>
        <w:ind w:left="720" w:hanging="360"/>
        <w:jc w:val="both"/>
        <w:rPr>
          <w:sz w:val="24"/>
          <w:szCs w:val="24"/>
          <w:u w:val="none"/>
        </w:rPr>
      </w:pPr>
      <w:r w:rsidDel="00000000" w:rsidR="00000000" w:rsidRPr="00000000">
        <w:rPr>
          <w:sz w:val="24"/>
          <w:szCs w:val="24"/>
          <w:rtl w:val="0"/>
        </w:rPr>
        <w:t xml:space="preserve">Comenzará entonces el proceso de control realizado automáticamente por la aplicación. Este proceso puede tardar unos minutos, de acuerdo a la cantidad de presentaciones que tenga el archivo.</w:t>
      </w:r>
    </w:p>
    <w:p w:rsidR="00000000" w:rsidDel="00000000" w:rsidP="00000000" w:rsidRDefault="00000000" w:rsidRPr="00000000" w14:paraId="0000000B">
      <w:pPr>
        <w:numPr>
          <w:ilvl w:val="0"/>
          <w:numId w:val="1"/>
        </w:numPr>
        <w:ind w:left="720" w:hanging="360"/>
        <w:jc w:val="both"/>
        <w:rPr>
          <w:sz w:val="24"/>
          <w:szCs w:val="24"/>
          <w:u w:val="none"/>
        </w:rPr>
      </w:pPr>
      <w:r w:rsidDel="00000000" w:rsidR="00000000" w:rsidRPr="00000000">
        <w:rPr>
          <w:sz w:val="24"/>
          <w:szCs w:val="24"/>
          <w:rtl w:val="0"/>
        </w:rPr>
        <w:t xml:space="preserve">Si todo está correcto, las presentaciones quedan disponibles en la bandeja firma del módulo "evaluación de lotes". Si correspondiere, el sistema permite adjuntar documentación extra. La aprobación y presentación final debe ser realizada por el director técnico, que, a través de la opción "Confirmar", firmará electrónicamente toda la presentación.</w:t>
      </w:r>
    </w:p>
    <w:p w:rsidR="00000000" w:rsidDel="00000000" w:rsidP="00000000" w:rsidRDefault="00000000" w:rsidRPr="00000000" w14:paraId="0000000C">
      <w:pPr>
        <w:numPr>
          <w:ilvl w:val="0"/>
          <w:numId w:val="1"/>
        </w:numPr>
        <w:ind w:left="720" w:hanging="360"/>
        <w:jc w:val="both"/>
        <w:rPr>
          <w:sz w:val="24"/>
          <w:szCs w:val="24"/>
          <w:u w:val="none"/>
        </w:rPr>
      </w:pPr>
      <w:r w:rsidDel="00000000" w:rsidR="00000000" w:rsidRPr="00000000">
        <w:rPr>
          <w:sz w:val="24"/>
          <w:szCs w:val="24"/>
          <w:rtl w:val="0"/>
        </w:rPr>
        <w:t xml:space="preserve">Si durante el proceso de control y verificación se produce un error, la aplicación informará por pantalla qué tipo de error sucedió e identificará en qué registro de la presentación ocurrió.</w:t>
      </w:r>
      <w:r w:rsidDel="00000000" w:rsidR="00000000" w:rsidRPr="00000000">
        <w:br w:type="page"/>
      </w:r>
      <w:r w:rsidDel="00000000" w:rsidR="00000000" w:rsidRPr="00000000">
        <w:rPr>
          <w:rtl w:val="0"/>
        </w:rPr>
      </w:r>
    </w:p>
    <w:p w:rsidR="00000000" w:rsidDel="00000000" w:rsidP="00000000" w:rsidRDefault="00000000" w:rsidRPr="00000000" w14:paraId="0000000D">
      <w:pPr>
        <w:spacing w:after="200" w:lineRule="auto"/>
        <w:rPr>
          <w:b w:val="1"/>
          <w:sz w:val="24"/>
          <w:szCs w:val="24"/>
        </w:rPr>
      </w:pPr>
      <w:r w:rsidDel="00000000" w:rsidR="00000000" w:rsidRPr="00000000">
        <w:rPr>
          <w:b w:val="1"/>
          <w:sz w:val="24"/>
          <w:szCs w:val="24"/>
          <w:rtl w:val="0"/>
        </w:rPr>
        <w:t xml:space="preserve">Formato del archivo para la carga masiva</w:t>
      </w:r>
    </w:p>
    <w:p w:rsidR="00000000" w:rsidDel="00000000" w:rsidP="00000000" w:rsidRDefault="00000000" w:rsidRPr="00000000" w14:paraId="0000000E">
      <w:pPr>
        <w:spacing w:after="200" w:lineRule="auto"/>
        <w:jc w:val="both"/>
        <w:rPr>
          <w:sz w:val="24"/>
          <w:szCs w:val="24"/>
        </w:rPr>
      </w:pPr>
      <w:r w:rsidDel="00000000" w:rsidR="00000000" w:rsidRPr="00000000">
        <w:rPr>
          <w:b w:val="1"/>
          <w:color w:val="ff0000"/>
          <w:sz w:val="24"/>
          <w:szCs w:val="24"/>
          <w:rtl w:val="0"/>
        </w:rPr>
        <w:t xml:space="preserve">IMPORTANTE:</w:t>
      </w:r>
      <w:r w:rsidDel="00000000" w:rsidR="00000000" w:rsidRPr="00000000">
        <w:rPr>
          <w:b w:val="1"/>
          <w:sz w:val="24"/>
          <w:szCs w:val="24"/>
          <w:rtl w:val="0"/>
        </w:rPr>
        <w:t xml:space="preserve"> </w:t>
      </w:r>
      <w:r w:rsidDel="00000000" w:rsidR="00000000" w:rsidRPr="00000000">
        <w:rPr>
          <w:i w:val="1"/>
          <w:sz w:val="24"/>
          <w:szCs w:val="24"/>
          <w:rtl w:val="0"/>
        </w:rPr>
        <w:t xml:space="preserve">Todos los datos del archivo deben estar separados por una coma.</w:t>
      </w:r>
      <w:r w:rsidDel="00000000" w:rsidR="00000000" w:rsidRPr="00000000">
        <w:rPr>
          <w:rtl w:val="0"/>
        </w:rPr>
      </w:r>
    </w:p>
    <w:p w:rsidR="00000000" w:rsidDel="00000000" w:rsidP="00000000" w:rsidRDefault="00000000" w:rsidRPr="00000000" w14:paraId="0000000F">
      <w:pPr>
        <w:spacing w:after="200" w:lineRule="auto"/>
        <w:jc w:val="both"/>
        <w:rPr>
          <w:sz w:val="24"/>
          <w:szCs w:val="24"/>
        </w:rPr>
      </w:pPr>
      <w:r w:rsidDel="00000000" w:rsidR="00000000" w:rsidRPr="00000000">
        <w:rPr>
          <w:sz w:val="24"/>
          <w:szCs w:val="24"/>
          <w:rtl w:val="0"/>
        </w:rPr>
        <w:t xml:space="preserve">Para utilizar este servicio el usuario externo deberá generar un documento con extensión CSV o TXT, con las presentaciones en el formato que se indica a continuación.</w:t>
      </w:r>
    </w:p>
    <w:p w:rsidR="00000000" w:rsidDel="00000000" w:rsidP="00000000" w:rsidRDefault="00000000" w:rsidRPr="00000000" w14:paraId="00000010">
      <w:pPr>
        <w:spacing w:after="200" w:lineRule="auto"/>
        <w:jc w:val="both"/>
        <w:rPr>
          <w:sz w:val="24"/>
          <w:szCs w:val="24"/>
        </w:rPr>
      </w:pPr>
      <w:r w:rsidDel="00000000" w:rsidR="00000000" w:rsidRPr="00000000">
        <w:rPr>
          <w:sz w:val="24"/>
          <w:szCs w:val="24"/>
          <w:rtl w:val="0"/>
        </w:rPr>
        <w:t xml:space="preserve">Cada presentación consta de 2 líneas de datos.</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La primera línea tiene los campos:</w:t>
      </w:r>
    </w:p>
    <w:p w:rsidR="00000000" w:rsidDel="00000000" w:rsidP="00000000" w:rsidRDefault="00000000" w:rsidRPr="00000000" w14:paraId="00000012">
      <w:pPr>
        <w:ind w:left="720" w:firstLine="0"/>
        <w:jc w:val="both"/>
        <w:rPr>
          <w:sz w:val="24"/>
          <w:szCs w:val="24"/>
        </w:rPr>
      </w:pPr>
      <w:r w:rsidDel="00000000" w:rsidR="00000000" w:rsidRPr="00000000">
        <w:rPr>
          <w:b w:val="1"/>
          <w:sz w:val="24"/>
          <w:szCs w:val="24"/>
          <w:rtl w:val="0"/>
        </w:rPr>
        <w:t xml:space="preserve">1A -</w:t>
      </w:r>
      <w:r w:rsidDel="00000000" w:rsidR="00000000" w:rsidRPr="00000000">
        <w:rPr>
          <w:sz w:val="24"/>
          <w:szCs w:val="24"/>
          <w:rtl w:val="0"/>
        </w:rPr>
        <w:t xml:space="preserve"> Nombre del Campo (alfanumérico)</w:t>
      </w:r>
    </w:p>
    <w:p w:rsidR="00000000" w:rsidDel="00000000" w:rsidP="00000000" w:rsidRDefault="00000000" w:rsidRPr="00000000" w14:paraId="00000013">
      <w:pPr>
        <w:ind w:left="720" w:firstLine="0"/>
        <w:jc w:val="both"/>
        <w:rPr>
          <w:sz w:val="24"/>
          <w:szCs w:val="24"/>
        </w:rPr>
      </w:pPr>
      <w:r w:rsidDel="00000000" w:rsidR="00000000" w:rsidRPr="00000000">
        <w:rPr>
          <w:b w:val="1"/>
          <w:sz w:val="24"/>
          <w:szCs w:val="24"/>
          <w:rtl w:val="0"/>
        </w:rPr>
        <w:t xml:space="preserve">1B -</w:t>
      </w:r>
      <w:r w:rsidDel="00000000" w:rsidR="00000000" w:rsidRPr="00000000">
        <w:rPr>
          <w:sz w:val="24"/>
          <w:szCs w:val="24"/>
          <w:rtl w:val="0"/>
        </w:rPr>
        <w:t xml:space="preserve"> Código de localidad (numérico)</w:t>
      </w:r>
    </w:p>
    <w:p w:rsidR="00000000" w:rsidDel="00000000" w:rsidP="00000000" w:rsidRDefault="00000000" w:rsidRPr="00000000" w14:paraId="00000014">
      <w:pPr>
        <w:ind w:left="720" w:firstLine="0"/>
        <w:jc w:val="both"/>
        <w:rPr>
          <w:sz w:val="24"/>
          <w:szCs w:val="24"/>
        </w:rPr>
      </w:pPr>
      <w:r w:rsidDel="00000000" w:rsidR="00000000" w:rsidRPr="00000000">
        <w:rPr>
          <w:b w:val="1"/>
          <w:sz w:val="24"/>
          <w:szCs w:val="24"/>
          <w:rtl w:val="0"/>
        </w:rPr>
        <w:t xml:space="preserve">1C -</w:t>
      </w:r>
      <w:r w:rsidDel="00000000" w:rsidR="00000000" w:rsidRPr="00000000">
        <w:rPr>
          <w:sz w:val="24"/>
          <w:szCs w:val="24"/>
          <w:rtl w:val="0"/>
        </w:rPr>
        <w:t xml:space="preserve"> Código de especie (numérico)</w:t>
      </w:r>
    </w:p>
    <w:p w:rsidR="00000000" w:rsidDel="00000000" w:rsidP="00000000" w:rsidRDefault="00000000" w:rsidRPr="00000000" w14:paraId="00000015">
      <w:pPr>
        <w:ind w:left="720" w:firstLine="0"/>
        <w:jc w:val="both"/>
        <w:rPr>
          <w:sz w:val="24"/>
          <w:szCs w:val="24"/>
        </w:rPr>
      </w:pPr>
      <w:r w:rsidDel="00000000" w:rsidR="00000000" w:rsidRPr="00000000">
        <w:rPr>
          <w:b w:val="1"/>
          <w:sz w:val="24"/>
          <w:szCs w:val="24"/>
          <w:rtl w:val="0"/>
        </w:rPr>
        <w:t xml:space="preserve">1D -</w:t>
      </w:r>
      <w:r w:rsidDel="00000000" w:rsidR="00000000" w:rsidRPr="00000000">
        <w:rPr>
          <w:sz w:val="24"/>
          <w:szCs w:val="24"/>
          <w:rtl w:val="0"/>
        </w:rPr>
        <w:t xml:space="preserve"> Cantidad de lotes a ingresar en la presentación.</w:t>
      </w:r>
    </w:p>
    <w:p w:rsidR="00000000" w:rsidDel="00000000" w:rsidP="00000000" w:rsidRDefault="00000000" w:rsidRPr="00000000" w14:paraId="00000016">
      <w:pPr>
        <w:spacing w:after="200" w:lineRule="auto"/>
        <w:ind w:left="720" w:firstLine="0"/>
        <w:jc w:val="both"/>
        <w:rPr>
          <w:sz w:val="24"/>
          <w:szCs w:val="24"/>
        </w:rPr>
      </w:pPr>
      <w:r w:rsidDel="00000000" w:rsidR="00000000" w:rsidRPr="00000000">
        <w:rPr>
          <w:b w:val="1"/>
          <w:sz w:val="24"/>
          <w:szCs w:val="24"/>
          <w:rtl w:val="0"/>
        </w:rPr>
        <w:t xml:space="preserve">1E -</w:t>
      </w:r>
      <w:r w:rsidDel="00000000" w:rsidR="00000000" w:rsidRPr="00000000">
        <w:rPr>
          <w:sz w:val="24"/>
          <w:szCs w:val="24"/>
          <w:rtl w:val="0"/>
        </w:rPr>
        <w:t xml:space="preserve"> Código de oficina (numérico)</w:t>
      </w:r>
    </w:p>
    <w:p w:rsidR="00000000" w:rsidDel="00000000" w:rsidP="00000000" w:rsidRDefault="00000000" w:rsidRPr="00000000" w14:paraId="00000017">
      <w:pPr>
        <w:ind w:left="0" w:firstLine="0"/>
        <w:jc w:val="both"/>
        <w:rPr>
          <w:sz w:val="24"/>
          <w:szCs w:val="24"/>
        </w:rPr>
      </w:pPr>
      <w:r w:rsidDel="00000000" w:rsidR="00000000" w:rsidRPr="00000000">
        <w:rPr>
          <w:sz w:val="24"/>
          <w:szCs w:val="24"/>
          <w:rtl w:val="0"/>
        </w:rPr>
        <w:t xml:space="preserve">La segunda parte consta de todos los lotes declarados en dicha presentación. La cantidad de líneas depende del número declarado en “Cantidad de lotes” (o bien, el campo 1D) en la primera línea de la presentación. </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Los campos a declarar son los siguientes:</w:t>
      </w:r>
    </w:p>
    <w:p w:rsidR="00000000" w:rsidDel="00000000" w:rsidP="00000000" w:rsidRDefault="00000000" w:rsidRPr="00000000" w14:paraId="00000019">
      <w:pPr>
        <w:ind w:firstLine="720"/>
        <w:jc w:val="both"/>
        <w:rPr>
          <w:sz w:val="24"/>
          <w:szCs w:val="24"/>
        </w:rPr>
      </w:pPr>
      <w:r w:rsidDel="00000000" w:rsidR="00000000" w:rsidRPr="00000000">
        <w:rPr>
          <w:b w:val="1"/>
          <w:sz w:val="24"/>
          <w:szCs w:val="24"/>
          <w:rtl w:val="0"/>
        </w:rPr>
        <w:t xml:space="preserve">2A -</w:t>
      </w:r>
      <w:r w:rsidDel="00000000" w:rsidR="00000000" w:rsidRPr="00000000">
        <w:rPr>
          <w:sz w:val="24"/>
          <w:szCs w:val="24"/>
          <w:rtl w:val="0"/>
        </w:rPr>
        <w:t xml:space="preserve"> Nombre del lote (alfanumérico)</w:t>
      </w:r>
    </w:p>
    <w:p w:rsidR="00000000" w:rsidDel="00000000" w:rsidP="00000000" w:rsidRDefault="00000000" w:rsidRPr="00000000" w14:paraId="0000001A">
      <w:pPr>
        <w:ind w:firstLine="720"/>
        <w:jc w:val="both"/>
        <w:rPr>
          <w:sz w:val="24"/>
          <w:szCs w:val="24"/>
        </w:rPr>
      </w:pPr>
      <w:r w:rsidDel="00000000" w:rsidR="00000000" w:rsidRPr="00000000">
        <w:rPr>
          <w:b w:val="1"/>
          <w:sz w:val="24"/>
          <w:szCs w:val="24"/>
          <w:rtl w:val="0"/>
        </w:rPr>
        <w:t xml:space="preserve">2B -</w:t>
      </w:r>
      <w:r w:rsidDel="00000000" w:rsidR="00000000" w:rsidRPr="00000000">
        <w:rPr>
          <w:sz w:val="24"/>
          <w:szCs w:val="24"/>
          <w:rtl w:val="0"/>
        </w:rPr>
        <w:t xml:space="preserve"> Superficie del lote (numérico)</w:t>
      </w:r>
    </w:p>
    <w:p w:rsidR="00000000" w:rsidDel="00000000" w:rsidP="00000000" w:rsidRDefault="00000000" w:rsidRPr="00000000" w14:paraId="0000001B">
      <w:pPr>
        <w:ind w:firstLine="720"/>
        <w:jc w:val="both"/>
        <w:rPr>
          <w:sz w:val="24"/>
          <w:szCs w:val="24"/>
        </w:rPr>
      </w:pPr>
      <w:r w:rsidDel="00000000" w:rsidR="00000000" w:rsidRPr="00000000">
        <w:rPr>
          <w:b w:val="1"/>
          <w:sz w:val="24"/>
          <w:szCs w:val="24"/>
          <w:rtl w:val="0"/>
        </w:rPr>
        <w:t xml:space="preserve">2C -</w:t>
      </w:r>
      <w:r w:rsidDel="00000000" w:rsidR="00000000" w:rsidRPr="00000000">
        <w:rPr>
          <w:sz w:val="24"/>
          <w:szCs w:val="24"/>
          <w:rtl w:val="0"/>
        </w:rPr>
        <w:t xml:space="preserve"> Unidad de superficie (numérico)</w:t>
      </w:r>
    </w:p>
    <w:p w:rsidR="00000000" w:rsidDel="00000000" w:rsidP="00000000" w:rsidRDefault="00000000" w:rsidRPr="00000000" w14:paraId="0000001C">
      <w:pPr>
        <w:ind w:firstLine="720"/>
        <w:jc w:val="both"/>
        <w:rPr>
          <w:sz w:val="24"/>
          <w:szCs w:val="24"/>
        </w:rPr>
      </w:pPr>
      <w:r w:rsidDel="00000000" w:rsidR="00000000" w:rsidRPr="00000000">
        <w:rPr>
          <w:b w:val="1"/>
          <w:sz w:val="24"/>
          <w:szCs w:val="24"/>
          <w:rtl w:val="0"/>
        </w:rPr>
        <w:t xml:space="preserve">2D -</w:t>
      </w:r>
      <w:r w:rsidDel="00000000" w:rsidR="00000000" w:rsidRPr="00000000">
        <w:rPr>
          <w:sz w:val="24"/>
          <w:szCs w:val="24"/>
          <w:rtl w:val="0"/>
        </w:rPr>
        <w:t xml:space="preserve"> Código de cultivar (numérico)</w:t>
      </w:r>
    </w:p>
    <w:p w:rsidR="00000000" w:rsidDel="00000000" w:rsidP="00000000" w:rsidRDefault="00000000" w:rsidRPr="00000000" w14:paraId="0000001D">
      <w:pPr>
        <w:ind w:firstLine="720"/>
        <w:jc w:val="both"/>
        <w:rPr>
          <w:sz w:val="24"/>
          <w:szCs w:val="24"/>
        </w:rPr>
      </w:pPr>
      <w:r w:rsidDel="00000000" w:rsidR="00000000" w:rsidRPr="00000000">
        <w:rPr>
          <w:b w:val="1"/>
          <w:sz w:val="24"/>
          <w:szCs w:val="24"/>
          <w:rtl w:val="0"/>
        </w:rPr>
        <w:t xml:space="preserve">2E -</w:t>
      </w:r>
      <w:r w:rsidDel="00000000" w:rsidR="00000000" w:rsidRPr="00000000">
        <w:rPr>
          <w:sz w:val="24"/>
          <w:szCs w:val="24"/>
          <w:rtl w:val="0"/>
        </w:rPr>
        <w:t xml:space="preserve"> Híbrido (1 o 0 según corresponda)</w:t>
      </w:r>
    </w:p>
    <w:p w:rsidR="00000000" w:rsidDel="00000000" w:rsidP="00000000" w:rsidRDefault="00000000" w:rsidRPr="00000000" w14:paraId="0000001E">
      <w:pPr>
        <w:ind w:left="720" w:firstLine="0"/>
        <w:jc w:val="both"/>
        <w:rPr>
          <w:sz w:val="24"/>
          <w:szCs w:val="24"/>
        </w:rPr>
      </w:pPr>
      <w:r w:rsidDel="00000000" w:rsidR="00000000" w:rsidRPr="00000000">
        <w:rPr>
          <w:b w:val="1"/>
          <w:sz w:val="24"/>
          <w:szCs w:val="24"/>
          <w:rtl w:val="0"/>
        </w:rPr>
        <w:t xml:space="preserve">2F -</w:t>
      </w:r>
      <w:r w:rsidDel="00000000" w:rsidR="00000000" w:rsidRPr="00000000">
        <w:rPr>
          <w:sz w:val="24"/>
          <w:szCs w:val="24"/>
          <w:rtl w:val="0"/>
        </w:rPr>
        <w:t xml:space="preserve"> Superficie Hembra (numérico): Campo necesario sólo en caso de que el campo híbrido (2E) sea 1.</w:t>
      </w:r>
    </w:p>
    <w:p w:rsidR="00000000" w:rsidDel="00000000" w:rsidP="00000000" w:rsidRDefault="00000000" w:rsidRPr="00000000" w14:paraId="0000001F">
      <w:pPr>
        <w:ind w:left="720" w:firstLine="0"/>
        <w:jc w:val="both"/>
        <w:rPr>
          <w:sz w:val="24"/>
          <w:szCs w:val="24"/>
        </w:rPr>
      </w:pPr>
      <w:r w:rsidDel="00000000" w:rsidR="00000000" w:rsidRPr="00000000">
        <w:rPr>
          <w:b w:val="1"/>
          <w:sz w:val="24"/>
          <w:szCs w:val="24"/>
          <w:rtl w:val="0"/>
        </w:rPr>
        <w:t xml:space="preserve">2G -</w:t>
      </w:r>
      <w:r w:rsidDel="00000000" w:rsidR="00000000" w:rsidRPr="00000000">
        <w:rPr>
          <w:sz w:val="24"/>
          <w:szCs w:val="24"/>
          <w:rtl w:val="0"/>
        </w:rPr>
        <w:t xml:space="preserve"> Relación macho-hembra (números, puntos y guiones): Idem 2F, sólo necesario en caso de que el campo híbrido (2E) sea 1.</w:t>
      </w:r>
    </w:p>
    <w:p w:rsidR="00000000" w:rsidDel="00000000" w:rsidP="00000000" w:rsidRDefault="00000000" w:rsidRPr="00000000" w14:paraId="00000020">
      <w:pPr>
        <w:ind w:firstLine="720"/>
        <w:jc w:val="both"/>
        <w:rPr>
          <w:sz w:val="24"/>
          <w:szCs w:val="24"/>
        </w:rPr>
      </w:pPr>
      <w:r w:rsidDel="00000000" w:rsidR="00000000" w:rsidRPr="00000000">
        <w:rPr>
          <w:b w:val="1"/>
          <w:sz w:val="24"/>
          <w:szCs w:val="24"/>
          <w:rtl w:val="0"/>
        </w:rPr>
        <w:t xml:space="preserve">2I - </w:t>
      </w:r>
      <w:r w:rsidDel="00000000" w:rsidR="00000000" w:rsidRPr="00000000">
        <w:rPr>
          <w:sz w:val="24"/>
          <w:szCs w:val="24"/>
          <w:rtl w:val="0"/>
        </w:rPr>
        <w:t xml:space="preserve">Código de unidad densidad de siembra (numérico)</w:t>
      </w:r>
    </w:p>
    <w:p w:rsidR="00000000" w:rsidDel="00000000" w:rsidP="00000000" w:rsidRDefault="00000000" w:rsidRPr="00000000" w14:paraId="00000021">
      <w:pPr>
        <w:ind w:firstLine="720"/>
        <w:jc w:val="both"/>
        <w:rPr>
          <w:sz w:val="24"/>
          <w:szCs w:val="24"/>
        </w:rPr>
      </w:pPr>
      <w:r w:rsidDel="00000000" w:rsidR="00000000" w:rsidRPr="00000000">
        <w:rPr>
          <w:b w:val="1"/>
          <w:sz w:val="24"/>
          <w:szCs w:val="24"/>
          <w:rtl w:val="0"/>
        </w:rPr>
        <w:t xml:space="preserve">2H -</w:t>
      </w:r>
      <w:r w:rsidDel="00000000" w:rsidR="00000000" w:rsidRPr="00000000">
        <w:rPr>
          <w:sz w:val="24"/>
          <w:szCs w:val="24"/>
          <w:rtl w:val="0"/>
        </w:rPr>
        <w:t xml:space="preserve"> Densidad siembra (numérico)</w:t>
      </w:r>
    </w:p>
    <w:p w:rsidR="00000000" w:rsidDel="00000000" w:rsidP="00000000" w:rsidRDefault="00000000" w:rsidRPr="00000000" w14:paraId="00000022">
      <w:pPr>
        <w:ind w:firstLine="720"/>
        <w:jc w:val="both"/>
        <w:rPr>
          <w:sz w:val="24"/>
          <w:szCs w:val="24"/>
        </w:rPr>
      </w:pPr>
      <w:r w:rsidDel="00000000" w:rsidR="00000000" w:rsidRPr="00000000">
        <w:rPr>
          <w:b w:val="1"/>
          <w:sz w:val="24"/>
          <w:szCs w:val="24"/>
          <w:rtl w:val="0"/>
        </w:rPr>
        <w:t xml:space="preserve">2J - </w:t>
      </w:r>
      <w:r w:rsidDel="00000000" w:rsidR="00000000" w:rsidRPr="00000000">
        <w:rPr>
          <w:sz w:val="24"/>
          <w:szCs w:val="24"/>
          <w:rtl w:val="0"/>
        </w:rPr>
        <w:t xml:space="preserve">Fecha de siembra (día, mes, año)</w:t>
      </w:r>
    </w:p>
    <w:p w:rsidR="00000000" w:rsidDel="00000000" w:rsidP="00000000" w:rsidRDefault="00000000" w:rsidRPr="00000000" w14:paraId="00000023">
      <w:pPr>
        <w:ind w:firstLine="720"/>
        <w:jc w:val="both"/>
        <w:rPr>
          <w:sz w:val="24"/>
          <w:szCs w:val="24"/>
        </w:rPr>
      </w:pPr>
      <w:r w:rsidDel="00000000" w:rsidR="00000000" w:rsidRPr="00000000">
        <w:rPr>
          <w:b w:val="1"/>
          <w:sz w:val="24"/>
          <w:szCs w:val="24"/>
          <w:rtl w:val="0"/>
        </w:rPr>
        <w:t xml:space="preserve">2K -</w:t>
      </w:r>
      <w:r w:rsidDel="00000000" w:rsidR="00000000" w:rsidRPr="00000000">
        <w:rPr>
          <w:sz w:val="24"/>
          <w:szCs w:val="24"/>
          <w:rtl w:val="0"/>
        </w:rPr>
        <w:t xml:space="preserve"> Código de especie antecesora (numérico)</w:t>
      </w:r>
    </w:p>
    <w:p w:rsidR="00000000" w:rsidDel="00000000" w:rsidP="00000000" w:rsidRDefault="00000000" w:rsidRPr="00000000" w14:paraId="00000024">
      <w:pPr>
        <w:ind w:firstLine="720"/>
        <w:jc w:val="both"/>
        <w:rPr>
          <w:sz w:val="24"/>
          <w:szCs w:val="24"/>
        </w:rPr>
      </w:pPr>
      <w:r w:rsidDel="00000000" w:rsidR="00000000" w:rsidRPr="00000000">
        <w:rPr>
          <w:b w:val="1"/>
          <w:sz w:val="24"/>
          <w:szCs w:val="24"/>
          <w:rtl w:val="0"/>
        </w:rPr>
        <w:t xml:space="preserve">2M -</w:t>
      </w:r>
      <w:r w:rsidDel="00000000" w:rsidR="00000000" w:rsidRPr="00000000">
        <w:rPr>
          <w:sz w:val="24"/>
          <w:szCs w:val="24"/>
          <w:rtl w:val="0"/>
        </w:rPr>
        <w:t xml:space="preserve"> Observaciones (alfanumérico)</w:t>
      </w:r>
    </w:p>
    <w:p w:rsidR="00000000" w:rsidDel="00000000" w:rsidP="00000000" w:rsidRDefault="00000000" w:rsidRPr="00000000" w14:paraId="00000025">
      <w:pPr>
        <w:ind w:firstLine="720"/>
        <w:jc w:val="both"/>
        <w:rPr>
          <w:sz w:val="24"/>
          <w:szCs w:val="24"/>
        </w:rPr>
      </w:pPr>
      <w:r w:rsidDel="00000000" w:rsidR="00000000" w:rsidRPr="00000000">
        <w:rPr>
          <w:b w:val="1"/>
          <w:sz w:val="24"/>
          <w:szCs w:val="24"/>
          <w:rtl w:val="0"/>
        </w:rPr>
        <w:t xml:space="preserve">2N -</w:t>
      </w:r>
      <w:r w:rsidDel="00000000" w:rsidR="00000000" w:rsidRPr="00000000">
        <w:rPr>
          <w:sz w:val="24"/>
          <w:szCs w:val="24"/>
          <w:rtl w:val="0"/>
        </w:rPr>
        <w:t xml:space="preserve"> Latitud (numérico)</w:t>
      </w:r>
    </w:p>
    <w:p w:rsidR="00000000" w:rsidDel="00000000" w:rsidP="00000000" w:rsidRDefault="00000000" w:rsidRPr="00000000" w14:paraId="00000026">
      <w:pPr>
        <w:spacing w:after="200" w:lineRule="auto"/>
        <w:ind w:firstLine="720"/>
        <w:jc w:val="both"/>
        <w:rPr>
          <w:sz w:val="24"/>
          <w:szCs w:val="24"/>
        </w:rPr>
      </w:pPr>
      <w:r w:rsidDel="00000000" w:rsidR="00000000" w:rsidRPr="00000000">
        <w:rPr>
          <w:b w:val="1"/>
          <w:sz w:val="24"/>
          <w:szCs w:val="24"/>
          <w:rtl w:val="0"/>
        </w:rPr>
        <w:t xml:space="preserve">2O -</w:t>
      </w:r>
      <w:r w:rsidDel="00000000" w:rsidR="00000000" w:rsidRPr="00000000">
        <w:rPr>
          <w:sz w:val="24"/>
          <w:szCs w:val="24"/>
          <w:rtl w:val="0"/>
        </w:rPr>
        <w:t xml:space="preserve"> Longitud (numérico)</w:t>
      </w:r>
    </w:p>
    <w:p w:rsidR="00000000" w:rsidDel="00000000" w:rsidP="00000000" w:rsidRDefault="00000000" w:rsidRPr="00000000" w14:paraId="00000027">
      <w:pPr>
        <w:spacing w:after="200" w:lineRule="auto"/>
        <w:jc w:val="both"/>
        <w:rPr>
          <w:sz w:val="24"/>
          <w:szCs w:val="24"/>
        </w:rPr>
      </w:pPr>
      <w:r w:rsidDel="00000000" w:rsidR="00000000" w:rsidRPr="00000000">
        <w:rPr>
          <w:b w:val="1"/>
          <w:color w:val="ff0000"/>
          <w:sz w:val="24"/>
          <w:szCs w:val="24"/>
          <w:rtl w:val="0"/>
        </w:rPr>
        <w:t xml:space="preserve">IMPORTANTE:</w:t>
      </w:r>
      <w:r w:rsidDel="00000000" w:rsidR="00000000" w:rsidRPr="00000000">
        <w:rPr>
          <w:b w:val="1"/>
          <w:i w:val="1"/>
          <w:sz w:val="24"/>
          <w:szCs w:val="24"/>
          <w:rtl w:val="0"/>
        </w:rPr>
        <w:t xml:space="preserve"> </w:t>
      </w:r>
      <w:r w:rsidDel="00000000" w:rsidR="00000000" w:rsidRPr="00000000">
        <w:rPr>
          <w:i w:val="1"/>
          <w:sz w:val="24"/>
          <w:szCs w:val="24"/>
          <w:rtl w:val="0"/>
        </w:rPr>
        <w:t xml:space="preserve">No agregar ningún espacio al final del archivo.</w:t>
      </w:r>
      <w:r w:rsidDel="00000000" w:rsidR="00000000" w:rsidRPr="00000000">
        <w:br w:type="page"/>
      </w:r>
      <w:r w:rsidDel="00000000" w:rsidR="00000000" w:rsidRPr="00000000">
        <w:rPr>
          <w:rtl w:val="0"/>
        </w:rPr>
      </w:r>
    </w:p>
    <w:p w:rsidR="00000000" w:rsidDel="00000000" w:rsidP="00000000" w:rsidRDefault="00000000" w:rsidRPr="00000000" w14:paraId="00000028">
      <w:pPr>
        <w:spacing w:after="200" w:lineRule="auto"/>
        <w:jc w:val="both"/>
        <w:rPr>
          <w:sz w:val="24"/>
          <w:szCs w:val="24"/>
        </w:rPr>
      </w:pPr>
      <w:r w:rsidDel="00000000" w:rsidR="00000000" w:rsidRPr="00000000">
        <w:rPr>
          <w:sz w:val="24"/>
          <w:szCs w:val="24"/>
          <w:rtl w:val="0"/>
        </w:rPr>
        <w:t xml:space="preserve">En caso de no contar con ciertos datos (código de cultivar, código de oficina, código de unidad-densidad, etc.) puede consultar esos datos haciendo click en “Descargar tablas de referencia”. Este generará un archivo CSV con esos datos. (Es recomendable que, dado que son tablas muy extensas, abrirlo con un programa de hojas de datos, por ejemplo Microsoft Excel)</w:t>
      </w:r>
    </w:p>
    <w:p w:rsidR="00000000" w:rsidDel="00000000" w:rsidP="00000000" w:rsidRDefault="00000000" w:rsidRPr="00000000" w14:paraId="00000029">
      <w:pPr>
        <w:ind w:left="0" w:firstLine="0"/>
        <w:jc w:val="both"/>
        <w:rPr>
          <w:sz w:val="24"/>
          <w:szCs w:val="24"/>
        </w:rPr>
      </w:pPr>
      <w:r w:rsidDel="00000000" w:rsidR="00000000" w:rsidRPr="00000000">
        <w:rPr>
          <w:sz w:val="24"/>
          <w:szCs w:val="24"/>
          <w:rtl w:val="0"/>
        </w:rPr>
        <w:t xml:space="preserve">Ubicación de los datos en el archivo: </w:t>
      </w:r>
    </w:p>
    <w:p w:rsidR="00000000" w:rsidDel="00000000" w:rsidP="00000000" w:rsidRDefault="00000000" w:rsidRPr="00000000" w14:paraId="0000002A">
      <w:pPr>
        <w:ind w:left="0" w:firstLine="0"/>
        <w:jc w:val="both"/>
        <w:rPr>
          <w:sz w:val="24"/>
          <w:szCs w:val="24"/>
        </w:rPr>
      </w:pPr>
      <w:r w:rsidDel="00000000" w:rsidR="00000000" w:rsidRPr="00000000">
        <w:rPr>
          <w:sz w:val="24"/>
          <w:szCs w:val="24"/>
          <w:rtl w:val="0"/>
        </w:rPr>
        <w:t xml:space="preserve">1A,1B,1C,1D,1E</w:t>
      </w:r>
    </w:p>
    <w:p w:rsidR="00000000" w:rsidDel="00000000" w:rsidP="00000000" w:rsidRDefault="00000000" w:rsidRPr="00000000" w14:paraId="0000002B">
      <w:pPr>
        <w:spacing w:after="200" w:lineRule="auto"/>
        <w:ind w:left="0" w:firstLine="0"/>
        <w:jc w:val="both"/>
        <w:rPr>
          <w:sz w:val="24"/>
          <w:szCs w:val="24"/>
        </w:rPr>
      </w:pPr>
      <w:r w:rsidDel="00000000" w:rsidR="00000000" w:rsidRPr="00000000">
        <w:rPr>
          <w:sz w:val="24"/>
          <w:szCs w:val="24"/>
          <w:rtl w:val="0"/>
        </w:rPr>
        <w:t xml:space="preserve">2A,2B,2C,2D,2E,2F,2G,2H,2I,2Jd,2Jm,2Ja,2K,2L,2M,2N,2O</w:t>
      </w:r>
    </w:p>
    <w:p w:rsidR="00000000" w:rsidDel="00000000" w:rsidP="00000000" w:rsidRDefault="00000000" w:rsidRPr="00000000" w14:paraId="0000002C">
      <w:pPr>
        <w:spacing w:after="200" w:lineRule="auto"/>
        <w:jc w:val="both"/>
        <w:rPr>
          <w:sz w:val="24"/>
          <w:szCs w:val="24"/>
        </w:rPr>
      </w:pPr>
      <w:r w:rsidDel="00000000" w:rsidR="00000000" w:rsidRPr="00000000">
        <w:rPr>
          <w:sz w:val="24"/>
          <w:szCs w:val="24"/>
          <w:rtl w:val="0"/>
        </w:rPr>
        <w:t xml:space="preserve">Si no fuese necesario uno de los campos, puede dejarse vacío, insertando directamente la coma y pasando al siguiente valor. (Esto aplica principalmente para los campos que dependen de que el lote sea híbrido o no)</w:t>
      </w:r>
    </w:p>
    <w:p w:rsidR="00000000" w:rsidDel="00000000" w:rsidP="00000000" w:rsidRDefault="00000000" w:rsidRPr="00000000" w14:paraId="0000002D">
      <w:pPr>
        <w:spacing w:after="200" w:lineRule="auto"/>
        <w:ind w:left="0" w:firstLine="0"/>
        <w:jc w:val="both"/>
        <w:rPr>
          <w:sz w:val="24"/>
          <w:szCs w:val="24"/>
        </w:rPr>
      </w:pPr>
      <w:r w:rsidDel="00000000" w:rsidR="00000000" w:rsidRPr="00000000">
        <w:rPr>
          <w:sz w:val="24"/>
          <w:szCs w:val="24"/>
          <w:rtl w:val="0"/>
        </w:rPr>
        <w:t xml:space="preserve">Si no se </w:t>
      </w:r>
      <w:r w:rsidDel="00000000" w:rsidR="00000000" w:rsidRPr="00000000">
        <w:rPr>
          <w:sz w:val="24"/>
          <w:szCs w:val="24"/>
          <w:rtl w:val="0"/>
        </w:rPr>
        <w:t xml:space="preserve">respeta</w:t>
      </w:r>
      <w:r w:rsidDel="00000000" w:rsidR="00000000" w:rsidRPr="00000000">
        <w:rPr>
          <w:sz w:val="24"/>
          <w:szCs w:val="24"/>
          <w:rtl w:val="0"/>
        </w:rPr>
        <w:t xml:space="preserve"> el formato del archivo mencionado o se carga información no válida, la aplicación genera un error y no se ingresan los datos al sistema. La aplicación realiza varios controles en el momento de la carga del archivo masivo, si alguno de esos controles arrojase un error, éste será informado por pantalla.</w:t>
      </w:r>
    </w:p>
    <w:p w:rsidR="00000000" w:rsidDel="00000000" w:rsidP="00000000" w:rsidRDefault="00000000" w:rsidRPr="00000000" w14:paraId="0000002E">
      <w:pPr>
        <w:spacing w:after="200" w:lineRule="auto"/>
        <w:ind w:left="0" w:firstLine="0"/>
        <w:rPr>
          <w:b w:val="1"/>
          <w:sz w:val="24"/>
          <w:szCs w:val="24"/>
        </w:rPr>
      </w:pPr>
      <w:r w:rsidDel="00000000" w:rsidR="00000000" w:rsidRPr="00000000">
        <w:rPr>
          <w:b w:val="1"/>
          <w:sz w:val="24"/>
          <w:szCs w:val="24"/>
          <w:rtl w:val="0"/>
        </w:rPr>
        <w:t xml:space="preserve">Contenido de un archivo válido (ejemplo.csv)</w:t>
      </w:r>
    </w:p>
    <w:p w:rsidR="00000000" w:rsidDel="00000000" w:rsidP="00000000" w:rsidRDefault="00000000" w:rsidRPr="00000000" w14:paraId="0000002F">
      <w:pPr>
        <w:ind w:left="0" w:firstLine="0"/>
        <w:rPr>
          <w:rFonts w:ascii="Roboto Mono" w:cs="Roboto Mono" w:eastAsia="Roboto Mono" w:hAnsi="Roboto Mono"/>
          <w:sz w:val="20"/>
          <w:szCs w:val="20"/>
        </w:rPr>
      </w:pPr>
      <w:r w:rsidDel="00000000" w:rsidR="00000000" w:rsidRPr="00000000">
        <w:rPr>
          <w:rFonts w:ascii="Roboto Mono" w:cs="Roboto Mono" w:eastAsia="Roboto Mono" w:hAnsi="Roboto Mono"/>
          <w:sz w:val="20"/>
          <w:szCs w:val="20"/>
          <w:rtl w:val="0"/>
        </w:rPr>
        <w:t xml:space="preserve">Inase Campo,15267,16,1,7 </w:t>
      </w:r>
      <w:r w:rsidDel="00000000" w:rsidR="00000000" w:rsidRPr="00000000">
        <w:rPr>
          <w:rFonts w:ascii="Roboto Mono" w:cs="Roboto Mono" w:eastAsia="Roboto Mono" w:hAnsi="Roboto Mono"/>
          <w:sz w:val="20"/>
          <w:szCs w:val="20"/>
          <w:rtl w:val="0"/>
        </w:rPr>
        <w:t xml:space="preserve">campo,67,1,676,1,20,6.3,6.5,1,17,9,2021,266,6</w:t>
      </w:r>
      <w:r w:rsidDel="00000000" w:rsidR="00000000" w:rsidRPr="00000000">
        <w:rPr>
          <w:rFonts w:ascii="Roboto Mono" w:cs="Roboto Mono" w:eastAsia="Roboto Mono" w:hAnsi="Roboto Mono"/>
          <w:sz w:val="20"/>
          <w:szCs w:val="20"/>
          <w:rtl w:val="0"/>
        </w:rPr>
        <w:t xml:space="preserve">,etc,-30.212463,-6.2223382 Inase Avena,15267,3,2,7 </w:t>
      </w:r>
      <w:r w:rsidDel="00000000" w:rsidR="00000000" w:rsidRPr="00000000">
        <w:rPr>
          <w:rFonts w:ascii="Roboto Mono" w:cs="Roboto Mono" w:eastAsia="Roboto Mono" w:hAnsi="Roboto Mono"/>
          <w:sz w:val="20"/>
          <w:szCs w:val="20"/>
          <w:rtl w:val="0"/>
        </w:rPr>
        <w:t xml:space="preserve">avena,80,1,240,0</w:t>
      </w:r>
      <w:r w:rsidDel="00000000" w:rsidR="00000000" w:rsidRPr="00000000">
        <w:rPr>
          <w:rFonts w:ascii="Roboto Mono" w:cs="Roboto Mono" w:eastAsia="Roboto Mono" w:hAnsi="Roboto Mono"/>
          <w:sz w:val="20"/>
          <w:szCs w:val="20"/>
          <w:rtl w:val="0"/>
        </w:rPr>
        <w:t xml:space="preserve">,,,16.5,1,20,12,2021,266,1,observa,-1.3213213,-2.6465465 avena,22,1,240,0,,,75,1,20,12,2021,22,1,observa,-1.3213213,-2.6465465</w:t>
      </w:r>
    </w:p>
    <w:p w:rsidR="00000000" w:rsidDel="00000000" w:rsidP="00000000" w:rsidRDefault="00000000" w:rsidRPr="00000000" w14:paraId="00000030">
      <w:pPr>
        <w:ind w:left="0" w:firstLine="0"/>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31">
      <w:pPr>
        <w:ind w:left="0" w:firstLine="0"/>
        <w:jc w:val="both"/>
        <w:rPr>
          <w:sz w:val="24"/>
          <w:szCs w:val="24"/>
        </w:rPr>
      </w:pPr>
      <w:r w:rsidDel="00000000" w:rsidR="00000000" w:rsidRPr="00000000">
        <w:rPr>
          <w:sz w:val="24"/>
          <w:szCs w:val="24"/>
          <w:rtl w:val="0"/>
        </w:rPr>
        <w:t xml:space="preserve">Este es un ejemplo de un archivo correcto, que tiene un grupo de 2 presentaciones las cuales tienen uno y dos lotes respectivamente, con híbridos y no híbridos.</w:t>
      </w:r>
      <w:r w:rsidDel="00000000" w:rsidR="00000000" w:rsidRPr="00000000">
        <w:rPr>
          <w:rtl w:val="0"/>
        </w:rPr>
      </w:r>
    </w:p>
    <w:sectPr>
      <w:headerReference r:id="rId6" w:type="default"/>
      <w:footerReference r:id="rId7" w:type="default"/>
      <w:pgSz w:h="16834" w:w="11909" w:orient="portrait"/>
      <w:pgMar w:bottom="1440" w:top="1440" w:left="1440" w:right="1440" w:header="850.3937007874016"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on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Spectral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left"/>
      <w:rPr>
        <w:rFonts w:ascii="Cambria" w:cs="Cambria" w:eastAsia="Cambria" w:hAnsi="Cambria"/>
        <w:color w:val="a64d79"/>
        <w:sz w:val="36"/>
        <w:szCs w:val="36"/>
      </w:rPr>
    </w:pPr>
    <w:r w:rsidDel="00000000" w:rsidR="00000000" w:rsidRPr="00000000">
      <w:rPr>
        <w:rtl w:val="0"/>
      </w:rPr>
    </w:r>
  </w:p>
  <w:tbl>
    <w:tblPr>
      <w:tblStyle w:val="Table1"/>
      <w:tblW w:w="11120.433070866144"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7.716535433071"/>
      <w:gridCol w:w="6585"/>
      <w:gridCol w:w="2267.716535433071"/>
      <w:tblGridChange w:id="0">
        <w:tblGrid>
          <w:gridCol w:w="2267.716535433071"/>
          <w:gridCol w:w="6585"/>
          <w:gridCol w:w="2267.716535433071"/>
        </w:tblGrid>
      </w:tblGridChange>
    </w:tblGrid>
    <w:tr>
      <w:trPr>
        <w:cantSplit w:val="1"/>
        <w:trHeight w:val="332.05078125" w:hRule="atLeast"/>
        <w:tblHeader w:val="0"/>
      </w:trPr>
      <w:tc>
        <w:tcPr>
          <w:tcBorders>
            <w:top w:color="ffffff" w:space="0" w:sz="8" w:val="single"/>
            <w:left w:color="ffffff" w:space="0" w:sz="8" w:val="single"/>
            <w:bottom w:color="c27ba0"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a64d79"/>
              <w:sz w:val="36"/>
              <w:szCs w:val="36"/>
            </w:rPr>
          </w:pP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6">
          <w:pPr>
            <w:jc w:val="center"/>
            <w:rPr>
              <w:rFonts w:ascii="Spectral Medium" w:cs="Spectral Medium" w:eastAsia="Spectral Medium" w:hAnsi="Spectral Medium"/>
              <w:color w:val="a64d79"/>
              <w:sz w:val="36"/>
              <w:szCs w:val="36"/>
            </w:rPr>
          </w:pPr>
          <w:r w:rsidDel="00000000" w:rsidR="00000000" w:rsidRPr="00000000">
            <w:rPr>
              <w:rFonts w:ascii="Spectral Medium" w:cs="Spectral Medium" w:eastAsia="Spectral Medium" w:hAnsi="Spectral Medium"/>
              <w:color w:val="a64d79"/>
              <w:sz w:val="32"/>
              <w:szCs w:val="32"/>
              <w:rtl w:val="0"/>
            </w:rPr>
            <w:t xml:space="preserve">INSTITUTO NACIONAL DE SEMILLAS</w:t>
          </w:r>
          <w:r w:rsidDel="00000000" w:rsidR="00000000" w:rsidRPr="00000000">
            <w:rPr>
              <w:rtl w:val="0"/>
            </w:rPr>
          </w:r>
        </w:p>
      </w:tc>
      <w:tc>
        <w:tcPr>
          <w:tcBorders>
            <w:top w:color="ffffff" w:space="0" w:sz="8" w:val="single"/>
            <w:left w:color="ffffff" w:space="0" w:sz="8" w:val="single"/>
            <w:bottom w:color="c27ba0"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a64d79"/>
              <w:sz w:val="36"/>
              <w:szCs w:val="36"/>
            </w:rPr>
          </w:pPr>
          <w:r w:rsidDel="00000000" w:rsidR="00000000" w:rsidRPr="00000000">
            <w:rPr>
              <w:rtl w:val="0"/>
            </w:rPr>
          </w:r>
        </w:p>
      </w:tc>
    </w:tr>
    <w:tr>
      <w:trPr>
        <w:cantSplit w:val="1"/>
        <w:trHeight w:val="332.05078125" w:hRule="atLeast"/>
        <w:tblHeader w:val="0"/>
      </w:trPr>
      <w:tc>
        <w:tcPr>
          <w:tcBorders>
            <w:top w:color="c27ba0"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a64d79"/>
              <w:sz w:val="36"/>
              <w:szCs w:val="36"/>
            </w:rPr>
          </w:pP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a64d79"/>
              <w:sz w:val="36"/>
              <w:szCs w:val="36"/>
            </w:rPr>
          </w:pPr>
          <w:r w:rsidDel="00000000" w:rsidR="00000000" w:rsidRPr="00000000">
            <w:rPr>
              <w:rtl w:val="0"/>
            </w:rPr>
          </w:r>
        </w:p>
      </w:tc>
      <w:tc>
        <w:tcPr>
          <w:tcBorders>
            <w:top w:color="c27ba0"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a64d79"/>
              <w:sz w:val="36"/>
              <w:szCs w:val="36"/>
            </w:rPr>
          </w:pPr>
          <w:r w:rsidDel="00000000" w:rsidR="00000000" w:rsidRPr="00000000">
            <w:rPr>
              <w:rtl w:val="0"/>
            </w:rPr>
          </w:r>
        </w:p>
      </w:tc>
    </w:tr>
  </w:tbl>
  <w:p w:rsidR="00000000" w:rsidDel="00000000" w:rsidP="00000000" w:rsidRDefault="00000000" w:rsidRPr="00000000" w14:paraId="0000003B">
    <w:pPr>
      <w:jc w:val="left"/>
      <w:rPr>
        <w:rFonts w:ascii="Cambria" w:cs="Cambria" w:eastAsia="Cambria" w:hAnsi="Cambria"/>
        <w:color w:val="a64d79"/>
        <w:sz w:val="36"/>
        <w:szCs w:val="3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center"/>
      <w:rPr>
        <w:rFonts w:ascii="Roboto" w:cs="Roboto" w:eastAsia="Roboto" w:hAnsi="Roboto"/>
        <w:b w:val="1"/>
        <w:color w:val="6fa8dc"/>
        <w:sz w:val="56"/>
        <w:szCs w:val="56"/>
      </w:rPr>
    </w:pPr>
    <w:r w:rsidDel="00000000" w:rsidR="00000000" w:rsidRPr="00000000">
      <w:rPr>
        <w:rFonts w:ascii="Roboto" w:cs="Roboto" w:eastAsia="Roboto" w:hAnsi="Roboto"/>
        <w:b w:val="1"/>
        <w:color w:val="6fa8dc"/>
        <w:sz w:val="56"/>
        <w:szCs w:val="56"/>
      </w:rPr>
      <w:pict>
        <v:shape id="WordPictureWatermark1" style="position:absolute;width:451.27559055118115pt;height:221.60854893138364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Fonts w:ascii="Roboto" w:cs="Roboto" w:eastAsia="Roboto" w:hAnsi="Roboto"/>
        <w:b w:val="1"/>
        <w:color w:val="6fa8dc"/>
        <w:sz w:val="56"/>
        <w:szCs w:val="56"/>
        <w:rtl w:val="0"/>
      </w:rPr>
      <w:t xml:space="preserve">CARGA MASIVA</w:t>
    </w:r>
  </w:p>
  <w:p w:rsidR="00000000" w:rsidDel="00000000" w:rsidP="00000000" w:rsidRDefault="00000000" w:rsidRPr="00000000" w14:paraId="00000033">
    <w:pPr>
      <w:jc w:val="center"/>
      <w:rPr>
        <w:rFonts w:ascii="Roboto" w:cs="Roboto" w:eastAsia="Roboto" w:hAnsi="Roboto"/>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SpectralMedium-italic.ttf"/><Relationship Id="rId10" Type="http://schemas.openxmlformats.org/officeDocument/2006/relationships/font" Target="fonts/SpectralMedium-bold.ttf"/><Relationship Id="rId12" Type="http://schemas.openxmlformats.org/officeDocument/2006/relationships/font" Target="fonts/SpectralMedium-boldItalic.ttf"/><Relationship Id="rId9" Type="http://schemas.openxmlformats.org/officeDocument/2006/relationships/font" Target="fonts/SpectralMedium-regular.ttf"/><Relationship Id="rId5" Type="http://schemas.openxmlformats.org/officeDocument/2006/relationships/font" Target="fonts/RobotoMono-regular.ttf"/><Relationship Id="rId6" Type="http://schemas.openxmlformats.org/officeDocument/2006/relationships/font" Target="fonts/RobotoMono-bold.ttf"/><Relationship Id="rId7" Type="http://schemas.openxmlformats.org/officeDocument/2006/relationships/font" Target="fonts/RobotoMono-italic.ttf"/><Relationship Id="rId8" Type="http://schemas.openxmlformats.org/officeDocument/2006/relationships/font" Target="fonts/RobotoMon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