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center"/>
        <w:rPr>
          <w:b w:val="1"/>
        </w:rPr>
      </w:pPr>
      <w:r w:rsidDel="00000000" w:rsidR="00000000" w:rsidRPr="00000000">
        <w:rPr>
          <w:b w:val="1"/>
          <w:rtl w:val="0"/>
        </w:rPr>
        <w:t xml:space="preserve">Apéndice III - Nota de desistimiento</w:t>
      </w:r>
    </w:p>
    <w:tbl>
      <w:tblPr>
        <w:tblStyle w:val="Table1"/>
        <w:tblW w:w="910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05"/>
        <w:tblGridChange w:id="0">
          <w:tblGrid>
            <w:gridCol w:w="9105"/>
          </w:tblGrid>
        </w:tblGridChange>
      </w:tblGrid>
      <w:tr>
        <w:trPr>
          <w:cantSplit w:val="0"/>
          <w:tblHeader w:val="0"/>
        </w:trPr>
        <w:tc>
          <w:tcPr/>
          <w:p w:rsidR="00000000" w:rsidDel="00000000" w:rsidP="00000000" w:rsidRDefault="00000000" w:rsidRPr="00000000" w14:paraId="00000002">
            <w:pPr>
              <w:spacing w:after="120" w:lineRule="auto"/>
              <w:ind w:left="1" w:hanging="3"/>
              <w:jc w:val="center"/>
              <w:rPr>
                <w:b w:val="1"/>
                <w:sz w:val="32"/>
                <w:szCs w:val="32"/>
              </w:rPr>
            </w:pPr>
            <w:r w:rsidDel="00000000" w:rsidR="00000000" w:rsidRPr="00000000">
              <w:rPr>
                <w:b w:val="1"/>
                <w:sz w:val="32"/>
                <w:szCs w:val="32"/>
                <w:rtl w:val="0"/>
              </w:rPr>
              <w:t xml:space="preserve">Programa Nacional de Fortalecimiento de la Calidad - Convocatoria para la Acreditación de las Normas IRAM-ISO/IEC 17025, IRAM-ISO/IEC 17043, IRAM-ISO/IEC 17020 e IRAM-ISO/IEC 17034, en el marco del Programa Nacional de Fortalecimiento de la Calidad  (FORDECAL)</w:t>
            </w:r>
          </w:p>
          <w:p w:rsidR="00000000" w:rsidDel="00000000" w:rsidP="00000000" w:rsidRDefault="00000000" w:rsidRPr="00000000" w14:paraId="00000003">
            <w:pPr>
              <w:spacing w:after="120" w:lineRule="auto"/>
              <w:ind w:left="1" w:hanging="3"/>
              <w:jc w:val="center"/>
              <w:rPr>
                <w:b w:val="1"/>
                <w:sz w:val="32"/>
                <w:szCs w:val="32"/>
              </w:rPr>
            </w:pPr>
            <w:r w:rsidDel="00000000" w:rsidR="00000000" w:rsidRPr="00000000">
              <w:rPr>
                <w:rtl w:val="0"/>
              </w:rPr>
            </w:r>
          </w:p>
          <w:p w:rsidR="00000000" w:rsidDel="00000000" w:rsidP="00000000" w:rsidRDefault="00000000" w:rsidRPr="00000000" w14:paraId="00000004">
            <w:pPr>
              <w:spacing w:after="120" w:lineRule="auto"/>
              <w:ind w:left="2" w:hanging="4"/>
              <w:jc w:val="center"/>
              <w:rPr>
                <w:b w:val="1"/>
                <w:sz w:val="36"/>
                <w:szCs w:val="36"/>
              </w:rPr>
            </w:pPr>
            <w:r w:rsidDel="00000000" w:rsidR="00000000" w:rsidRPr="00000000">
              <w:rPr>
                <w:b w:val="1"/>
                <w:sz w:val="36"/>
                <w:szCs w:val="36"/>
                <w:rtl w:val="0"/>
              </w:rPr>
              <w:t xml:space="preserve">Nota de Desistimiento</w:t>
            </w:r>
          </w:p>
        </w:tc>
      </w:tr>
    </w:tbl>
    <w:p w:rsidR="00000000" w:rsidDel="00000000" w:rsidP="00000000" w:rsidRDefault="00000000" w:rsidRPr="00000000" w14:paraId="00000005">
      <w:pPr>
        <w:tabs>
          <w:tab w:val="left" w:leader="none" w:pos="6946"/>
          <w:tab w:val="left" w:leader="none" w:pos="8185"/>
        </w:tabs>
        <w:spacing w:after="240" w:before="240" w:lineRule="auto"/>
        <w:ind w:firstLine="0"/>
        <w:jc w:val="right"/>
        <w:rPr>
          <w:sz w:val="24"/>
          <w:szCs w:val="24"/>
        </w:rPr>
      </w:pPr>
      <w:r w:rsidDel="00000000" w:rsidR="00000000" w:rsidRPr="00000000">
        <w:rPr>
          <w:sz w:val="24"/>
          <w:szCs w:val="24"/>
          <w:rtl w:val="0"/>
        </w:rPr>
        <w:t xml:space="preserve">Lugar y fecha</w:t>
      </w:r>
    </w:p>
    <w:p w:rsidR="00000000" w:rsidDel="00000000" w:rsidP="00000000" w:rsidRDefault="00000000" w:rsidRPr="00000000" w14:paraId="00000006">
      <w:pPr>
        <w:tabs>
          <w:tab w:val="left" w:leader="none" w:pos="6946"/>
          <w:tab w:val="left" w:leader="none" w:pos="8185"/>
        </w:tabs>
        <w:spacing w:after="240" w:before="240" w:lineRule="auto"/>
        <w:ind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7">
      <w:pPr>
        <w:tabs>
          <w:tab w:val="left" w:leader="none" w:pos="6946"/>
          <w:tab w:val="left" w:leader="none" w:pos="8185"/>
        </w:tabs>
        <w:spacing w:after="240" w:before="240" w:lineRule="auto"/>
        <w:ind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8">
      <w:pPr>
        <w:tabs>
          <w:tab w:val="left" w:leader="none" w:pos="6946"/>
          <w:tab w:val="left" w:leader="none" w:pos="8185"/>
        </w:tabs>
        <w:spacing w:after="240" w:before="240" w:lineRule="auto"/>
        <w:ind w:firstLine="0"/>
        <w:jc w:val="both"/>
        <w:rPr>
          <w:sz w:val="24"/>
          <w:szCs w:val="24"/>
        </w:rPr>
      </w:pPr>
      <w:r w:rsidDel="00000000" w:rsidR="00000000" w:rsidRPr="00000000">
        <w:rPr>
          <w:sz w:val="24"/>
          <w:szCs w:val="24"/>
          <w:rtl w:val="0"/>
        </w:rPr>
        <w:t xml:space="preserve">Por medio de la presente, ................................. </w:t>
      </w:r>
      <w:r w:rsidDel="00000000" w:rsidR="00000000" w:rsidRPr="00000000">
        <w:rPr>
          <w:sz w:val="24"/>
          <w:szCs w:val="24"/>
          <w:rtl w:val="0"/>
        </w:rPr>
        <w:t xml:space="preserve">(NOMBRE DE LA ENTIDAD SOLICITANTE), Nro. de CUIT .............................., nos dirigimos a ud. a fin de desistir de la solicitud efectuada de APORTE NO REINTEGRABLE realizada con fecha (completar con la fecha que se hizo la solicitud), para el proyecto titulado ……………………… (completar con el título del proyecto) que cursa en el expediente ex-2023……………………. (completar con el N° de expediente cuyo procedimiento se desiste). </w:t>
      </w:r>
    </w:p>
    <w:p w:rsidR="00000000" w:rsidDel="00000000" w:rsidP="00000000" w:rsidRDefault="00000000" w:rsidRPr="00000000" w14:paraId="00000009">
      <w:pPr>
        <w:tabs>
          <w:tab w:val="left" w:leader="none" w:pos="6946"/>
          <w:tab w:val="left" w:leader="none" w:pos="8185"/>
        </w:tabs>
        <w:spacing w:after="240" w:before="240" w:lineRule="auto"/>
        <w:ind w:firstLine="0"/>
        <w:jc w:val="both"/>
        <w:rPr>
          <w:sz w:val="24"/>
          <w:szCs w:val="24"/>
        </w:rPr>
      </w:pPr>
      <w:r w:rsidDel="00000000" w:rsidR="00000000" w:rsidRPr="00000000">
        <w:rPr>
          <w:sz w:val="24"/>
          <w:szCs w:val="24"/>
          <w:rtl w:val="0"/>
        </w:rPr>
        <w:t xml:space="preserve">Los saludo atentamente,</w:t>
      </w:r>
    </w:p>
    <w:p w:rsidR="00000000" w:rsidDel="00000000" w:rsidP="00000000" w:rsidRDefault="00000000" w:rsidRPr="00000000" w14:paraId="0000000A">
      <w:pPr>
        <w:tabs>
          <w:tab w:val="left" w:leader="none" w:pos="6946"/>
        </w:tabs>
        <w:spacing w:before="147" w:lineRule="auto"/>
        <w:ind w:left="0" w:hanging="2"/>
        <w:rPr>
          <w:sz w:val="20"/>
          <w:szCs w:val="20"/>
        </w:rPr>
      </w:pPr>
      <w:r w:rsidDel="00000000" w:rsidR="00000000" w:rsidRPr="00000000">
        <w:rPr>
          <w:sz w:val="20"/>
          <w:szCs w:val="20"/>
          <w:rtl w:val="0"/>
        </w:rPr>
        <w:t xml:space="preserve">…………………………………….</w:t>
        <w:tab/>
        <w:t xml:space="preserve">………………………………….</w:t>
      </w:r>
    </w:p>
    <w:p w:rsidR="00000000" w:rsidDel="00000000" w:rsidP="00000000" w:rsidRDefault="00000000" w:rsidRPr="00000000" w14:paraId="0000000B">
      <w:pPr>
        <w:tabs>
          <w:tab w:val="left" w:leader="none" w:pos="6946"/>
          <w:tab w:val="left" w:leader="none" w:pos="7712"/>
        </w:tabs>
        <w:ind w:left="1439" w:hanging="1443"/>
        <w:jc w:val="right"/>
        <w:rPr>
          <w:sz w:val="16"/>
          <w:szCs w:val="16"/>
        </w:rPr>
      </w:pPr>
      <w:r w:rsidDel="00000000" w:rsidR="00000000" w:rsidRPr="00000000">
        <w:rPr>
          <w:sz w:val="16"/>
          <w:szCs w:val="16"/>
          <w:rtl w:val="0"/>
        </w:rPr>
        <w:t xml:space="preserve">Aclaración</w:t>
        <w:tab/>
        <w:t xml:space="preserve">                    </w:t>
        <w:tab/>
        <w:t xml:space="preserve">Firma del Representante  legal de la entidad</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tabs>
          <w:tab w:val="left" w:leader="none" w:pos="6946"/>
        </w:tabs>
        <w:spacing w:after="0"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00D">
      <w:pPr>
        <w:tabs>
          <w:tab w:val="left" w:leader="none" w:pos="3669.0000000000005"/>
        </w:tabs>
        <w:spacing w:before="126" w:lineRule="auto"/>
        <w:ind w:left="0" w:hanging="2"/>
        <w:rPr>
          <w:sz w:val="20"/>
          <w:szCs w:val="20"/>
        </w:rPr>
      </w:pPr>
      <w:r w:rsidDel="00000000" w:rsidR="00000000" w:rsidRPr="00000000">
        <w:rPr>
          <w:sz w:val="20"/>
          <w:szCs w:val="20"/>
          <w:rtl w:val="0"/>
        </w:rPr>
        <w:t xml:space="preserve">……………………………………..</w:t>
      </w:r>
    </w:p>
    <w:p w:rsidR="00000000" w:rsidDel="00000000" w:rsidP="00000000" w:rsidRDefault="00000000" w:rsidRPr="00000000" w14:paraId="0000000E">
      <w:pPr>
        <w:tabs>
          <w:tab w:val="left" w:leader="none" w:pos="8185"/>
        </w:tabs>
        <w:ind w:left="0" w:hanging="2"/>
        <w:jc w:val="center"/>
        <w:rPr>
          <w:sz w:val="20"/>
          <w:szCs w:val="20"/>
        </w:rPr>
      </w:pPr>
      <w:r w:rsidDel="00000000" w:rsidR="00000000" w:rsidRPr="00000000">
        <w:rPr>
          <w:sz w:val="16"/>
          <w:szCs w:val="16"/>
          <w:rtl w:val="0"/>
        </w:rPr>
        <w:t xml:space="preserve">Cargo</w:t>
        <w:tab/>
        <w:t xml:space="preserve">                               </w:t>
      </w:r>
      <w:r w:rsidDel="00000000" w:rsidR="00000000" w:rsidRPr="00000000">
        <w:rPr>
          <w:rtl w:val="0"/>
        </w:rPr>
      </w:r>
    </w:p>
    <w:sectPr>
      <w:foot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0" w:hanging="2"/>
      <w:jc w:val="right"/>
      <w:rPr>
        <w:color w:val="000000"/>
      </w:rPr>
    </w:pPr>
    <w:r w:rsidDel="00000000" w:rsidR="00000000" w:rsidRPr="00000000">
      <w:rPr>
        <w:color w:val="000000"/>
        <w:rtl w:val="0"/>
      </w:rPr>
      <w:t xml:space="preserve">Página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de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0" w:hanging="2"/>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pPr>
      <w:suppressAutoHyphens w:val="1"/>
      <w:ind w:left="-1" w:leftChars="-1" w:hanging="1" w:hangingChars="1"/>
      <w:textDirection w:val="btLr"/>
      <w:textAlignment w:val="top"/>
      <w:outlineLvl w:val="0"/>
    </w:pPr>
    <w:rPr>
      <w:position w:val="-1"/>
    </w:rPr>
    <w:tblPr>
      <w:tblCellMar>
        <w:top w:w="0.0" w:type="dxa"/>
        <w:left w:w="0.0" w:type="dxa"/>
        <w:bottom w:w="0.0" w:type="dxa"/>
        <w:right w:w="0.0" w:type="dxa"/>
      </w:tblCellMar>
    </w:tblPr>
  </w:style>
  <w:style w:type="paragraph" w:styleId="Normal1" w:customStyle="1">
    <w:name w:val="Normal1"/>
    <w:pPr>
      <w:suppressAutoHyphens w:val="1"/>
      <w:ind w:left="-1" w:leftChars="-1" w:hanging="1" w:hangingChars="1"/>
      <w:textDirection w:val="btLr"/>
      <w:textAlignment w:val="top"/>
      <w:outlineLvl w:val="0"/>
    </w:pPr>
    <w:rPr>
      <w:position w:val="-1"/>
    </w:rPr>
  </w:style>
  <w:style w:type="table" w:styleId="TableNormal1" w:customStyle="1">
    <w:name w:val="Table Normal"/>
    <w:pPr>
      <w:suppressAutoHyphens w:val="1"/>
      <w:ind w:left="-1" w:leftChars="-1" w:hanging="1" w:hangingChars="1"/>
      <w:textDirection w:val="btLr"/>
      <w:textAlignment w:val="top"/>
      <w:outlineLvl w:val="0"/>
    </w:pPr>
    <w:rPr>
      <w:position w:val="-1"/>
    </w:rPr>
    <w:tblPr>
      <w:tblCellMar>
        <w:top w:w="0.0" w:type="dxa"/>
        <w:left w:w="0.0" w:type="dxa"/>
        <w:bottom w:w="0.0" w:type="dxa"/>
        <w:right w:w="0.0" w:type="dxa"/>
      </w:tblCellMar>
    </w:tblPr>
  </w:style>
  <w:style w:type="table" w:styleId="TableNormal2" w:customStyle="1">
    <w:name w:val="Table Normal"/>
    <w:next w:val="TableNormal"/>
    <w:pPr>
      <w:suppressAutoHyphens w:val="1"/>
      <w:ind w:left="-1" w:leftChars="-1" w:hanging="1" w:hangingChars="1"/>
      <w:textDirection w:val="btLr"/>
      <w:textAlignment w:val="top"/>
      <w:outlineLvl w:val="0"/>
    </w:pPr>
    <w:rPr>
      <w:position w:val="-1"/>
    </w:rPr>
    <w:tblPr>
      <w:tblCellMar>
        <w:top w:w="0.0" w:type="dxa"/>
        <w:left w:w="0.0" w:type="dxa"/>
        <w:bottom w:w="0.0" w:type="dxa"/>
        <w:right w:w="0.0" w:type="dxa"/>
      </w:tblCellMar>
    </w:tblPr>
  </w:style>
  <w:style w:type="character" w:styleId="Refdecomentario">
    <w:name w:val="annotation reference"/>
    <w:qFormat w:val="1"/>
    <w:rPr>
      <w:w w:val="100"/>
      <w:position w:val="-1"/>
      <w:sz w:val="16"/>
      <w:szCs w:val="16"/>
      <w:effect w:val="none"/>
      <w:vertAlign w:val="baseline"/>
      <w:cs w:val="0"/>
      <w:em w:val="none"/>
    </w:rPr>
  </w:style>
  <w:style w:type="paragraph" w:styleId="Textocomentario">
    <w:name w:val="annotation text"/>
    <w:basedOn w:val="Normal"/>
    <w:qFormat w:val="1"/>
    <w:pPr>
      <w:spacing w:line="240" w:lineRule="auto"/>
    </w:pPr>
    <w:rPr>
      <w:sz w:val="20"/>
      <w:szCs w:val="20"/>
    </w:rPr>
  </w:style>
  <w:style w:type="character" w:styleId="TextocomentarioCar" w:customStyle="1">
    <w:name w:val="Texto comentario Car"/>
    <w:rPr>
      <w:w w:val="100"/>
      <w:position w:val="-1"/>
      <w:sz w:val="20"/>
      <w:szCs w:val="20"/>
      <w:effect w:val="none"/>
      <w:vertAlign w:val="baseline"/>
      <w:cs w:val="0"/>
      <w:em w:val="none"/>
    </w:rPr>
  </w:style>
  <w:style w:type="paragraph" w:styleId="Asuntodelcomentario">
    <w:name w:val="annotation subject"/>
    <w:basedOn w:val="Textocomentario"/>
    <w:next w:val="Textocomentario"/>
    <w:qFormat w:val="1"/>
    <w:rPr>
      <w:b w:val="1"/>
      <w:bCs w:val="1"/>
    </w:rPr>
  </w:style>
  <w:style w:type="character" w:styleId="AsuntodelcomentarioCar" w:customStyle="1">
    <w:name w:val="Asunto del comentario Car"/>
    <w:rPr>
      <w:b w:val="1"/>
      <w:bCs w:val="1"/>
      <w:w w:val="100"/>
      <w:position w:val="-1"/>
      <w:sz w:val="20"/>
      <w:szCs w:val="20"/>
      <w:effect w:val="none"/>
      <w:vertAlign w:val="baseline"/>
      <w:cs w:val="0"/>
      <w:em w:val="none"/>
    </w:rPr>
  </w:style>
  <w:style w:type="paragraph" w:styleId="Textodeglobo">
    <w:name w:val="Balloon Text"/>
    <w:basedOn w:val="Normal"/>
    <w:qFormat w:val="1"/>
    <w:pPr>
      <w:spacing w:after="0" w:line="240" w:lineRule="auto"/>
    </w:pPr>
    <w:rPr>
      <w:rFonts w:ascii="Segoe UI" w:cs="Segoe UI" w:hAnsi="Segoe UI"/>
      <w:sz w:val="18"/>
      <w:szCs w:val="18"/>
    </w:rPr>
  </w:style>
  <w:style w:type="character" w:styleId="TextodegloboCar" w:customStyle="1">
    <w:name w:val="Texto de globo Car"/>
    <w:rPr>
      <w:rFonts w:ascii="Segoe UI" w:cs="Segoe UI" w:hAnsi="Segoe UI"/>
      <w:w w:val="100"/>
      <w:position w:val="-1"/>
      <w:sz w:val="18"/>
      <w:szCs w:val="18"/>
      <w:effect w:val="none"/>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CellMar>
        <w:left w:w="115.0" w:type="dxa"/>
        <w:right w:w="115.0" w:type="dxa"/>
      </w:tblCellMar>
    </w:tblPr>
  </w:style>
  <w:style w:type="table" w:styleId="a2" w:customStyle="1">
    <w:basedOn w:val="TableNormal2"/>
    <w:tblPr>
      <w:tblStyleRowBandSize w:val="1"/>
      <w:tblStyleColBandSize w:val="1"/>
      <w:tblCellMar>
        <w:left w:w="115.0" w:type="dxa"/>
        <w:right w:w="115.0" w:type="dxa"/>
      </w:tblCellMar>
    </w:tblPr>
  </w:style>
  <w:style w:type="table" w:styleId="a3" w:customStyle="1">
    <w:basedOn w:val="TableNormal2"/>
    <w:tblPr>
      <w:tblStyleRowBandSize w:val="1"/>
      <w:tblStyleColBandSize w:val="1"/>
      <w:tblCellMar>
        <w:left w:w="115.0" w:type="dxa"/>
        <w:right w:w="115.0" w:type="dxa"/>
      </w:tblCellMar>
    </w:tblPr>
  </w:style>
  <w:style w:type="table" w:styleId="a4" w:customStyle="1">
    <w:basedOn w:val="TableNormal2"/>
    <w:tblPr>
      <w:tblStyleRowBandSize w:val="1"/>
      <w:tblStyleColBandSize w:val="1"/>
      <w:tblCellMar>
        <w:left w:w="115.0" w:type="dxa"/>
        <w:right w:w="115.0" w:type="dxa"/>
      </w:tblCellMar>
    </w:tblPr>
  </w:style>
  <w:style w:type="table" w:styleId="a5" w:customStyle="1">
    <w:basedOn w:val="TableNormal2"/>
    <w:tblPr>
      <w:tblStyleRowBandSize w:val="1"/>
      <w:tblStyleColBandSize w:val="1"/>
      <w:tblCellMar>
        <w:left w:w="115.0" w:type="dxa"/>
        <w:right w:w="115.0" w:type="dxa"/>
      </w:tblCellMar>
    </w:tblPr>
  </w:style>
  <w:style w:type="table" w:styleId="a6" w:customStyle="1">
    <w:basedOn w:val="TableNormal2"/>
    <w:tblPr>
      <w:tblStyleRowBandSize w:val="1"/>
      <w:tblStyleColBandSize w:val="1"/>
      <w:tblCellMar>
        <w:left w:w="115.0" w:type="dxa"/>
        <w:right w:w="115.0" w:type="dxa"/>
      </w:tblCellMar>
    </w:tblPr>
  </w:style>
  <w:style w:type="table" w:styleId="a7" w:customStyle="1">
    <w:basedOn w:val="TableNormal2"/>
    <w:tblPr>
      <w:tblStyleRowBandSize w:val="1"/>
      <w:tblStyleColBandSize w:val="1"/>
      <w:tblCellMar>
        <w:left w:w="115.0" w:type="dxa"/>
        <w:right w:w="115.0" w:type="dxa"/>
      </w:tblCellMar>
    </w:tblPr>
  </w:style>
  <w:style w:type="table" w:styleId="a8" w:customStyle="1">
    <w:basedOn w:val="TableNormal2"/>
    <w:tblPr>
      <w:tblStyleRowBandSize w:val="1"/>
      <w:tblStyleColBandSize w:val="1"/>
      <w:tblCellMar>
        <w:left w:w="115.0" w:type="dxa"/>
        <w:right w:w="115.0" w:type="dxa"/>
      </w:tblCellMar>
    </w:tblPr>
  </w:style>
  <w:style w:type="table" w:styleId="a9" w:customStyle="1">
    <w:basedOn w:val="TableNormal2"/>
    <w:tblPr>
      <w:tblStyleRowBandSize w:val="1"/>
      <w:tblStyleColBandSize w:val="1"/>
      <w:tblCellMar>
        <w:left w:w="115.0" w:type="dxa"/>
        <w:right w:w="115.0" w:type="dxa"/>
      </w:tblCellMar>
    </w:tblPr>
  </w:style>
  <w:style w:type="table" w:styleId="aa" w:customStyle="1">
    <w:basedOn w:val="TableNormal2"/>
    <w:tblPr>
      <w:tblStyleRowBandSize w:val="1"/>
      <w:tblStyleColBandSize w:val="1"/>
      <w:tblCellMar>
        <w:left w:w="115.0" w:type="dxa"/>
        <w:right w:w="115.0" w:type="dxa"/>
      </w:tblCellMar>
    </w:tblPr>
  </w:style>
  <w:style w:type="table" w:styleId="ab" w:customStyle="1">
    <w:basedOn w:val="TableNormal2"/>
    <w:tblPr>
      <w:tblStyleRowBandSize w:val="1"/>
      <w:tblStyleColBandSize w:val="1"/>
      <w:tblCellMar>
        <w:left w:w="115.0" w:type="dxa"/>
        <w:right w:w="115.0" w:type="dxa"/>
      </w:tblCellMar>
    </w:tblPr>
  </w:style>
  <w:style w:type="table" w:styleId="ac" w:customStyle="1">
    <w:basedOn w:val="TableNormal2"/>
    <w:tblPr>
      <w:tblStyleRowBandSize w:val="1"/>
      <w:tblStyleColBandSize w:val="1"/>
      <w:tblCellMar>
        <w:left w:w="115.0" w:type="dxa"/>
        <w:right w:w="115.0" w:type="dxa"/>
      </w:tblCellMar>
    </w:tblPr>
  </w:style>
  <w:style w:type="table" w:styleId="ad" w:customStyle="1">
    <w:basedOn w:val="TableNormal2"/>
    <w:tblPr>
      <w:tblStyleRowBandSize w:val="1"/>
      <w:tblStyleColBandSize w:val="1"/>
      <w:tblCellMar>
        <w:left w:w="115.0" w:type="dxa"/>
        <w:right w:w="115.0" w:type="dxa"/>
      </w:tblCellMar>
    </w:tblPr>
  </w:style>
  <w:style w:type="table" w:styleId="ae" w:customStyle="1">
    <w:basedOn w:val="TableNormal2"/>
    <w:tblPr>
      <w:tblStyleRowBandSize w:val="1"/>
      <w:tblStyleColBandSize w:val="1"/>
      <w:tblCellMar>
        <w:left w:w="115.0" w:type="dxa"/>
        <w:right w:w="115.0" w:type="dxa"/>
      </w:tblCellMar>
    </w:tblPr>
  </w:style>
  <w:style w:type="table" w:styleId="af" w:customStyle="1">
    <w:basedOn w:val="TableNormal2"/>
    <w:tblPr>
      <w:tblStyleRowBandSize w:val="1"/>
      <w:tblStyleColBandSize w:val="1"/>
      <w:tblCellMar>
        <w:left w:w="115.0" w:type="dxa"/>
        <w:right w:w="115.0" w:type="dxa"/>
      </w:tblCellMar>
    </w:tblPr>
  </w:style>
  <w:style w:type="table" w:styleId="af0" w:customStyle="1">
    <w:basedOn w:val="TableNormal2"/>
    <w:tblPr>
      <w:tblStyleRowBandSize w:val="1"/>
      <w:tblStyleColBandSize w:val="1"/>
      <w:tblCellMar>
        <w:left w:w="115.0" w:type="dxa"/>
        <w:right w:w="115.0" w:type="dxa"/>
      </w:tblCellMar>
    </w:tblPr>
  </w:style>
  <w:style w:type="table" w:styleId="af1" w:customStyle="1">
    <w:basedOn w:val="TableNormal2"/>
    <w:tblPr>
      <w:tblStyleRowBandSize w:val="1"/>
      <w:tblStyleColBandSize w:val="1"/>
      <w:tblCellMar>
        <w:left w:w="115.0" w:type="dxa"/>
        <w:right w:w="115.0" w:type="dxa"/>
      </w:tblCellMar>
    </w:tblPr>
  </w:style>
  <w:style w:type="table" w:styleId="af2" w:customStyle="1">
    <w:basedOn w:val="TableNormal2"/>
    <w:tblPr>
      <w:tblStyleRowBandSize w:val="1"/>
      <w:tblStyleColBandSize w:val="1"/>
      <w:tblCellMar>
        <w:left w:w="115.0" w:type="dxa"/>
        <w:right w:w="115.0" w:type="dxa"/>
      </w:tblCellMar>
    </w:tblPr>
  </w:style>
  <w:style w:type="table" w:styleId="af3" w:customStyle="1">
    <w:basedOn w:val="TableNormal2"/>
    <w:tblPr>
      <w:tblStyleRowBandSize w:val="1"/>
      <w:tblStyleColBandSize w:val="1"/>
      <w:tblCellMar>
        <w:left w:w="115.0" w:type="dxa"/>
        <w:right w:w="115.0" w:type="dxa"/>
      </w:tblCellMar>
    </w:tblPr>
  </w:style>
  <w:style w:type="table" w:styleId="af4" w:customStyle="1">
    <w:basedOn w:val="TableNormal2"/>
    <w:tblPr>
      <w:tblStyleRowBandSize w:val="1"/>
      <w:tblStyleColBandSize w:val="1"/>
      <w:tblCellMar>
        <w:left w:w="115.0" w:type="dxa"/>
        <w:right w:w="115.0" w:type="dxa"/>
      </w:tblCellMar>
    </w:tblPr>
  </w:style>
  <w:style w:type="table" w:styleId="af5" w:customStyle="1">
    <w:basedOn w:val="TableNormal2"/>
    <w:tblPr>
      <w:tblStyleRowBandSize w:val="1"/>
      <w:tblStyleColBandSize w:val="1"/>
      <w:tblCellMar>
        <w:left w:w="115.0" w:type="dxa"/>
        <w:right w:w="115.0" w:type="dxa"/>
      </w:tblCellMar>
    </w:tblPr>
  </w:style>
  <w:style w:type="table" w:styleId="af6" w:customStyle="1">
    <w:basedOn w:val="TableNormal2"/>
    <w:tblPr>
      <w:tblStyleRowBandSize w:val="1"/>
      <w:tblStyleColBandSize w:val="1"/>
      <w:tblCellMar>
        <w:left w:w="115.0" w:type="dxa"/>
        <w:right w:w="115.0" w:type="dxa"/>
      </w:tblCellMar>
    </w:tblPr>
  </w:style>
  <w:style w:type="table" w:styleId="af7" w:customStyle="1">
    <w:basedOn w:val="TableNormal2"/>
    <w:tblPr>
      <w:tblStyleRowBandSize w:val="1"/>
      <w:tblStyleColBandSize w:val="1"/>
      <w:tblCellMar>
        <w:left w:w="115.0" w:type="dxa"/>
        <w:right w:w="115.0" w:type="dxa"/>
      </w:tblCellMar>
    </w:tblPr>
  </w:style>
  <w:style w:type="table" w:styleId="af8" w:customStyle="1">
    <w:basedOn w:val="TableNormal2"/>
    <w:tblPr>
      <w:tblStyleRowBandSize w:val="1"/>
      <w:tblStyleColBandSize w:val="1"/>
      <w:tblCellMar>
        <w:left w:w="115.0" w:type="dxa"/>
        <w:right w:w="115.0" w:type="dxa"/>
      </w:tblCellMar>
    </w:tblPr>
  </w:style>
  <w:style w:type="table" w:styleId="af9" w:customStyle="1">
    <w:basedOn w:val="TableNormal2"/>
    <w:tblPr>
      <w:tblStyleRowBandSize w:val="1"/>
      <w:tblStyleColBandSize w:val="1"/>
      <w:tblCellMar>
        <w:left w:w="115.0" w:type="dxa"/>
        <w:right w:w="115.0" w:type="dxa"/>
      </w:tblCellMar>
    </w:tblPr>
  </w:style>
  <w:style w:type="table" w:styleId="afa" w:customStyle="1">
    <w:basedOn w:val="TableNormal2"/>
    <w:tblPr>
      <w:tblStyleRowBandSize w:val="1"/>
      <w:tblStyleColBandSize w:val="1"/>
      <w:tblCellMar>
        <w:left w:w="115.0" w:type="dxa"/>
        <w:right w:w="115.0" w:type="dxa"/>
      </w:tblCellMar>
    </w:tblPr>
  </w:style>
  <w:style w:type="table" w:styleId="afb" w:customStyle="1">
    <w:basedOn w:val="TableNormal2"/>
    <w:tblPr>
      <w:tblStyleRowBandSize w:val="1"/>
      <w:tblStyleColBandSize w:val="1"/>
      <w:tblCellMar>
        <w:left w:w="115.0" w:type="dxa"/>
        <w:right w:w="115.0" w:type="dxa"/>
      </w:tblCellMar>
    </w:tblPr>
  </w:style>
  <w:style w:type="paragraph" w:styleId="Textoindependiente">
    <w:name w:val="Body Text"/>
    <w:basedOn w:val="Normal"/>
    <w:pPr>
      <w:widowControl w:val="0"/>
      <w:autoSpaceDE w:val="0"/>
      <w:autoSpaceDN w:val="0"/>
      <w:spacing w:after="0" w:line="240" w:lineRule="auto"/>
    </w:pPr>
    <w:rPr>
      <w:rFonts w:ascii="Tahoma" w:cs="Tahoma" w:eastAsia="Tahoma" w:hAnsi="Tahoma"/>
      <w:lang w:eastAsia="en-US" w:val="es-ES"/>
    </w:rPr>
  </w:style>
  <w:style w:type="character" w:styleId="TextoindependienteCar" w:customStyle="1">
    <w:name w:val="Texto independiente Car"/>
    <w:rPr>
      <w:rFonts w:ascii="Tahoma" w:cs="Tahoma" w:eastAsia="Tahoma" w:hAnsi="Tahoma"/>
      <w:w w:val="100"/>
      <w:position w:val="-1"/>
      <w:effect w:val="none"/>
      <w:vertAlign w:val="baseline"/>
      <w:cs w:val="0"/>
      <w:em w:val="none"/>
      <w:lang w:eastAsia="en-US" w:val="es-ES"/>
    </w:rPr>
  </w:style>
  <w:style w:type="paragraph" w:styleId="Encabezado">
    <w:name w:val="header"/>
    <w:basedOn w:val="Normal"/>
    <w:qFormat w:val="1"/>
    <w:pPr>
      <w:spacing w:after="0" w:line="240" w:lineRule="auto"/>
    </w:pPr>
  </w:style>
  <w:style w:type="character" w:styleId="EncabezadoCar" w:customStyle="1">
    <w:name w:val="Encabezado Car"/>
    <w:basedOn w:val="Fuentedeprrafopredeter"/>
    <w:rPr>
      <w:w w:val="100"/>
      <w:position w:val="-1"/>
      <w:effect w:val="none"/>
      <w:vertAlign w:val="baseline"/>
      <w:cs w:val="0"/>
      <w:em w:val="none"/>
    </w:rPr>
  </w:style>
  <w:style w:type="paragraph" w:styleId="Piedepgina">
    <w:name w:val="footer"/>
    <w:basedOn w:val="Normal"/>
    <w:qFormat w:val="1"/>
    <w:pPr>
      <w:spacing w:after="0" w:line="240" w:lineRule="auto"/>
    </w:pPr>
  </w:style>
  <w:style w:type="character" w:styleId="PiedepginaCar" w:customStyle="1">
    <w:name w:val="Pie de página Car"/>
    <w:basedOn w:val="Fuentedeprrafopredeter"/>
    <w:rPr>
      <w:w w:val="100"/>
      <w:position w:val="-1"/>
      <w:effect w:val="none"/>
      <w:vertAlign w:val="baseline"/>
      <w:cs w:val="0"/>
      <w:em w:val="none"/>
    </w:rPr>
  </w:style>
  <w:style w:type="table" w:styleId="afc" w:customStyle="1">
    <w:basedOn w:val="TableNormal1"/>
    <w:tblPr>
      <w:tblStyleRowBandSize w:val="1"/>
      <w:tblStyleColBandSize w:val="1"/>
      <w:tblCellMar>
        <w:left w:w="115.0" w:type="dxa"/>
        <w:right w:w="115.0" w:type="dxa"/>
      </w:tblCellMar>
    </w:tblPr>
  </w:style>
  <w:style w:type="table" w:styleId="afd" w:customStyle="1">
    <w:basedOn w:val="TableNormal1"/>
    <w:tblPr>
      <w:tblStyleRowBandSize w:val="1"/>
      <w:tblStyleColBandSize w:val="1"/>
      <w:tblCellMar>
        <w:left w:w="115.0" w:type="dxa"/>
        <w:right w:w="115.0" w:type="dxa"/>
      </w:tblCellMar>
    </w:tblPr>
  </w:style>
  <w:style w:type="table" w:styleId="afe" w:customStyle="1">
    <w:basedOn w:val="TableNormal1"/>
    <w:tblPr>
      <w:tblStyleRowBandSize w:val="1"/>
      <w:tblStyleColBandSize w:val="1"/>
      <w:tblCellMar>
        <w:left w:w="115.0" w:type="dxa"/>
        <w:right w:w="115.0" w:type="dxa"/>
      </w:tblCellMar>
    </w:tblPr>
  </w:style>
  <w:style w:type="table" w:styleId="aff" w:customStyle="1">
    <w:basedOn w:val="TableNormal1"/>
    <w:tblPr>
      <w:tblStyleRowBandSize w:val="1"/>
      <w:tblStyleColBandSize w:val="1"/>
      <w:tblCellMar>
        <w:left w:w="115.0" w:type="dxa"/>
        <w:right w:w="115.0" w:type="dxa"/>
      </w:tblCellMar>
    </w:tblPr>
  </w:style>
  <w:style w:type="table" w:styleId="aff0" w:customStyle="1">
    <w:basedOn w:val="TableNormal1"/>
    <w:tblPr>
      <w:tblStyleRowBandSize w:val="1"/>
      <w:tblStyleColBandSize w:val="1"/>
      <w:tblCellMar>
        <w:left w:w="115.0" w:type="dxa"/>
        <w:right w:w="115.0" w:type="dxa"/>
      </w:tblCellMar>
    </w:tblPr>
  </w:style>
  <w:style w:type="table" w:styleId="aff1" w:customStyle="1">
    <w:basedOn w:val="TableNormal1"/>
    <w:tblPr>
      <w:tblStyleRowBandSize w:val="1"/>
      <w:tblStyleColBandSize w:val="1"/>
      <w:tblCellMar>
        <w:left w:w="115.0" w:type="dxa"/>
        <w:right w:w="115.0" w:type="dxa"/>
      </w:tblCellMar>
    </w:tblPr>
  </w:style>
  <w:style w:type="table" w:styleId="aff2" w:customStyle="1">
    <w:basedOn w:val="TableNormal1"/>
    <w:tblPr>
      <w:tblStyleRowBandSize w:val="1"/>
      <w:tblStyleColBandSize w:val="1"/>
      <w:tblCellMar>
        <w:left w:w="115.0" w:type="dxa"/>
        <w:right w:w="115.0" w:type="dxa"/>
      </w:tblCellMar>
    </w:tblPr>
  </w:style>
  <w:style w:type="table" w:styleId="aff3" w:customStyle="1">
    <w:basedOn w:val="TableNormal1"/>
    <w:tblPr>
      <w:tblStyleRowBandSize w:val="1"/>
      <w:tblStyleColBandSize w:val="1"/>
      <w:tblCellMar>
        <w:left w:w="115.0" w:type="dxa"/>
        <w:right w:w="115.0" w:type="dxa"/>
      </w:tblCellMar>
    </w:tblPr>
  </w:style>
  <w:style w:type="table" w:styleId="aff4" w:customStyle="1">
    <w:basedOn w:val="TableNormal1"/>
    <w:tblPr>
      <w:tblStyleRowBandSize w:val="1"/>
      <w:tblStyleColBandSize w:val="1"/>
      <w:tblCellMar>
        <w:left w:w="115.0" w:type="dxa"/>
        <w:right w:w="115.0" w:type="dxa"/>
      </w:tblCellMar>
    </w:tblPr>
  </w:style>
  <w:style w:type="table" w:styleId="aff5" w:customStyle="1">
    <w:basedOn w:val="TableNormal1"/>
    <w:tblPr>
      <w:tblStyleRowBandSize w:val="1"/>
      <w:tblStyleColBandSize w:val="1"/>
      <w:tblCellMar>
        <w:left w:w="115.0" w:type="dxa"/>
        <w:right w:w="115.0" w:type="dxa"/>
      </w:tblCellMar>
    </w:tblPr>
  </w:style>
  <w:style w:type="table" w:styleId="aff6" w:customStyle="1">
    <w:basedOn w:val="TableNormal1"/>
    <w:tblPr>
      <w:tblStyleRowBandSize w:val="1"/>
      <w:tblStyleColBandSize w:val="1"/>
      <w:tblCellMar>
        <w:left w:w="115.0" w:type="dxa"/>
        <w:right w:w="115.0" w:type="dxa"/>
      </w:tblCellMar>
    </w:tblPr>
  </w:style>
  <w:style w:type="table" w:styleId="aff7" w:customStyle="1">
    <w:basedOn w:val="TableNormal1"/>
    <w:tblPr>
      <w:tblStyleRowBandSize w:val="1"/>
      <w:tblStyleColBandSize w:val="1"/>
      <w:tblCellMar>
        <w:left w:w="115.0" w:type="dxa"/>
        <w:right w:w="115.0" w:type="dxa"/>
      </w:tblCellMar>
    </w:tblPr>
  </w:style>
  <w:style w:type="table" w:styleId="aff8" w:customStyle="1">
    <w:basedOn w:val="TableNormal1"/>
    <w:tblPr>
      <w:tblStyleRowBandSize w:val="1"/>
      <w:tblStyleColBandSize w:val="1"/>
      <w:tblCellMar>
        <w:left w:w="115.0" w:type="dxa"/>
        <w:right w:w="115.0" w:type="dxa"/>
      </w:tblCellMar>
    </w:tblPr>
  </w:style>
  <w:style w:type="table" w:styleId="aff9" w:customStyle="1">
    <w:basedOn w:val="TableNormal1"/>
    <w:tblPr>
      <w:tblStyleRowBandSize w:val="1"/>
      <w:tblStyleColBandSize w:val="1"/>
      <w:tblCellMar>
        <w:left w:w="115.0" w:type="dxa"/>
        <w:right w:w="115.0" w:type="dxa"/>
      </w:tblCellMar>
    </w:tblPr>
  </w:style>
  <w:style w:type="table" w:styleId="affa" w:customStyle="1">
    <w:basedOn w:val="TableNormal1"/>
    <w:tblPr>
      <w:tblStyleRowBandSize w:val="1"/>
      <w:tblStyleColBandSize w:val="1"/>
      <w:tblCellMar>
        <w:left w:w="115.0" w:type="dxa"/>
        <w:right w:w="115.0" w:type="dxa"/>
      </w:tblCellMar>
    </w:tblPr>
  </w:style>
  <w:style w:type="table" w:styleId="affb" w:customStyle="1">
    <w:basedOn w:val="TableNormal1"/>
    <w:tblPr>
      <w:tblStyleRowBandSize w:val="1"/>
      <w:tblStyleColBandSize w:val="1"/>
      <w:tblCellMar>
        <w:left w:w="115.0" w:type="dxa"/>
        <w:right w:w="115.0" w:type="dxa"/>
      </w:tblCellMar>
    </w:tblPr>
  </w:style>
  <w:style w:type="table" w:styleId="affc" w:customStyle="1">
    <w:basedOn w:val="TableNormal1"/>
    <w:tblPr>
      <w:tblStyleRowBandSize w:val="1"/>
      <w:tblStyleColBandSize w:val="1"/>
      <w:tblCellMar>
        <w:left w:w="115.0" w:type="dxa"/>
        <w:right w:w="115.0" w:type="dxa"/>
      </w:tblCellMar>
    </w:tblPr>
  </w:style>
  <w:style w:type="table" w:styleId="affd" w:customStyle="1">
    <w:basedOn w:val="TableNormal1"/>
    <w:tblPr>
      <w:tblStyleRowBandSize w:val="1"/>
      <w:tblStyleColBandSize w:val="1"/>
      <w:tblCellMar>
        <w:left w:w="115.0" w:type="dxa"/>
        <w:right w:w="115.0" w:type="dxa"/>
      </w:tblCellMar>
    </w:tblPr>
  </w:style>
  <w:style w:type="table" w:styleId="affe" w:customStyle="1">
    <w:basedOn w:val="TableNormal1"/>
    <w:tblPr>
      <w:tblStyleRowBandSize w:val="1"/>
      <w:tblStyleColBandSize w:val="1"/>
      <w:tblCellMar>
        <w:left w:w="115.0" w:type="dxa"/>
        <w:right w:w="115.0" w:type="dxa"/>
      </w:tblCellMar>
    </w:tblPr>
  </w:style>
  <w:style w:type="table" w:styleId="afff" w:customStyle="1">
    <w:basedOn w:val="TableNormal1"/>
    <w:tblPr>
      <w:tblStyleRowBandSize w:val="1"/>
      <w:tblStyleColBandSize w:val="1"/>
      <w:tblCellMar>
        <w:left w:w="115.0" w:type="dxa"/>
        <w:right w:w="115.0" w:type="dxa"/>
      </w:tblCellMar>
    </w:tblPr>
  </w:style>
  <w:style w:type="table" w:styleId="afff0" w:customStyle="1">
    <w:basedOn w:val="TableNormal1"/>
    <w:tblPr>
      <w:tblStyleRowBandSize w:val="1"/>
      <w:tblStyleColBandSize w:val="1"/>
      <w:tblCellMar>
        <w:left w:w="115.0" w:type="dxa"/>
        <w:right w:w="115.0" w:type="dxa"/>
      </w:tblCellMar>
    </w:tblPr>
  </w:style>
  <w:style w:type="table" w:styleId="afff1" w:customStyle="1">
    <w:basedOn w:val="TableNormal1"/>
    <w:tblPr>
      <w:tblStyleRowBandSize w:val="1"/>
      <w:tblStyleColBandSize w:val="1"/>
      <w:tblCellMar>
        <w:left w:w="115.0" w:type="dxa"/>
        <w:right w:w="115.0" w:type="dxa"/>
      </w:tblCellMar>
    </w:tblPr>
  </w:style>
  <w:style w:type="table" w:styleId="afff2" w:customStyle="1">
    <w:basedOn w:val="TableNormal1"/>
    <w:tblPr>
      <w:tblStyleRowBandSize w:val="1"/>
      <w:tblStyleColBandSize w:val="1"/>
      <w:tblCellMar>
        <w:left w:w="115.0" w:type="dxa"/>
        <w:right w:w="115.0" w:type="dxa"/>
      </w:tblCellMar>
    </w:tblPr>
  </w:style>
  <w:style w:type="table" w:styleId="afff3" w:customStyle="1">
    <w:basedOn w:val="TableNormal1"/>
    <w:tblPr>
      <w:tblStyleRowBandSize w:val="1"/>
      <w:tblStyleColBandSize w:val="1"/>
      <w:tblCellMar>
        <w:left w:w="115.0" w:type="dxa"/>
        <w:right w:w="115.0" w:type="dxa"/>
      </w:tblCellMar>
    </w:tblPr>
  </w:style>
  <w:style w:type="table" w:styleId="afff4" w:customStyle="1">
    <w:basedOn w:val="TableNormal1"/>
    <w:tblPr>
      <w:tblStyleRowBandSize w:val="1"/>
      <w:tblStyleColBandSize w:val="1"/>
      <w:tblCellMar>
        <w:left w:w="115.0" w:type="dxa"/>
        <w:right w:w="115.0" w:type="dxa"/>
      </w:tblCellMar>
    </w:tblPr>
  </w:style>
  <w:style w:type="table" w:styleId="afff5" w:customStyle="1">
    <w:basedOn w:val="TableNormal1"/>
    <w:tblPr>
      <w:tblStyleRowBandSize w:val="1"/>
      <w:tblStyleColBandSize w:val="1"/>
      <w:tblCellMar>
        <w:left w:w="115.0" w:type="dxa"/>
        <w:right w:w="115.0" w:type="dxa"/>
      </w:tblCellMar>
    </w:tblPr>
  </w:style>
  <w:style w:type="table" w:styleId="afff6" w:customStyle="1">
    <w:basedOn w:val="TableNormal1"/>
    <w:tblPr>
      <w:tblStyleRowBandSize w:val="1"/>
      <w:tblStyleColBandSize w:val="1"/>
      <w:tblCellMar>
        <w:left w:w="115.0" w:type="dxa"/>
        <w:right w:w="115.0" w:type="dxa"/>
      </w:tblCellMar>
    </w:tblPr>
  </w:style>
  <w:style w:type="table" w:styleId="afff7" w:customStyle="1">
    <w:basedOn w:val="TableNormal1"/>
    <w:tblPr>
      <w:tblStyleRowBandSize w:val="1"/>
      <w:tblStyleColBandSize w:val="1"/>
      <w:tblCellMar>
        <w:left w:w="115.0" w:type="dxa"/>
        <w:right w:w="115.0" w:type="dxa"/>
      </w:tblCellMar>
    </w:tblPr>
  </w:style>
  <w:style w:type="table" w:styleId="afff8" w:customStyle="1">
    <w:basedOn w:val="TableNormal2"/>
    <w:tblPr>
      <w:tblStyleRowBandSize w:val="1"/>
      <w:tblStyleColBandSize w:val="1"/>
      <w:tblCellMar>
        <w:top w:w="100.0" w:type="dxa"/>
        <w:left w:w="100.0" w:type="dxa"/>
        <w:bottom w:w="100.0" w:type="dxa"/>
        <w:right w:w="100.0" w:type="dxa"/>
      </w:tblCellMar>
    </w:tblPr>
  </w:style>
  <w:style w:type="table" w:styleId="afff9" w:customStyle="1">
    <w:basedOn w:val="TableNormal2"/>
    <w:tblPr>
      <w:tblStyleRowBandSize w:val="1"/>
      <w:tblStyleColBandSize w:val="1"/>
      <w:tblCellMar>
        <w:left w:w="115.0" w:type="dxa"/>
        <w:right w:w="115.0" w:type="dxa"/>
      </w:tblCellMar>
    </w:tblPr>
  </w:style>
  <w:style w:type="table" w:styleId="afffa" w:customStyle="1">
    <w:basedOn w:val="TableNormal2"/>
    <w:tblPr>
      <w:tblStyleRowBandSize w:val="1"/>
      <w:tblStyleColBandSize w:val="1"/>
      <w:tblCellMar>
        <w:left w:w="115.0" w:type="dxa"/>
        <w:right w:w="115.0" w:type="dxa"/>
      </w:tblCellMar>
    </w:tblPr>
  </w:style>
  <w:style w:type="table" w:styleId="afffb" w:customStyle="1">
    <w:basedOn w:val="TableNormal2"/>
    <w:tblPr>
      <w:tblStyleRowBandSize w:val="1"/>
      <w:tblStyleColBandSize w:val="1"/>
      <w:tblCellMar>
        <w:left w:w="115.0" w:type="dxa"/>
        <w:right w:w="115.0" w:type="dxa"/>
      </w:tblCellMar>
    </w:tblPr>
  </w:style>
  <w:style w:type="table" w:styleId="afffc" w:customStyle="1">
    <w:basedOn w:val="TableNormal2"/>
    <w:tblPr>
      <w:tblStyleRowBandSize w:val="1"/>
      <w:tblStyleColBandSize w:val="1"/>
      <w:tblCellMar>
        <w:left w:w="115.0" w:type="dxa"/>
        <w:right w:w="115.0" w:type="dxa"/>
      </w:tblCellMar>
    </w:tblPr>
  </w:style>
  <w:style w:type="table" w:styleId="afffd" w:customStyle="1">
    <w:basedOn w:val="TableNormal2"/>
    <w:tblPr>
      <w:tblStyleRowBandSize w:val="1"/>
      <w:tblStyleColBandSize w:val="1"/>
      <w:tblCellMar>
        <w:left w:w="115.0" w:type="dxa"/>
        <w:right w:w="115.0" w:type="dxa"/>
      </w:tblCellMar>
    </w:tblPr>
  </w:style>
  <w:style w:type="table" w:styleId="afffe" w:customStyle="1">
    <w:basedOn w:val="TableNormal2"/>
    <w:tblPr>
      <w:tblStyleRowBandSize w:val="1"/>
      <w:tblStyleColBandSize w:val="1"/>
      <w:tblCellMar>
        <w:left w:w="115.0" w:type="dxa"/>
        <w:right w:w="115.0" w:type="dxa"/>
      </w:tblCellMar>
    </w:tblPr>
  </w:style>
  <w:style w:type="table" w:styleId="affff" w:customStyle="1">
    <w:basedOn w:val="TableNormal2"/>
    <w:tblPr>
      <w:tblStyleRowBandSize w:val="1"/>
      <w:tblStyleColBandSize w:val="1"/>
      <w:tblCellMar>
        <w:left w:w="115.0" w:type="dxa"/>
        <w:right w:w="115.0" w:type="dxa"/>
      </w:tblCellMar>
    </w:tblPr>
  </w:style>
  <w:style w:type="table" w:styleId="affff0" w:customStyle="1">
    <w:basedOn w:val="TableNormal2"/>
    <w:tblPr>
      <w:tblStyleRowBandSize w:val="1"/>
      <w:tblStyleColBandSize w:val="1"/>
      <w:tblCellMar>
        <w:left w:w="115.0" w:type="dxa"/>
        <w:right w:w="115.0" w:type="dxa"/>
      </w:tblCellMar>
    </w:tblPr>
  </w:style>
  <w:style w:type="table" w:styleId="affff1" w:customStyle="1">
    <w:basedOn w:val="TableNormal2"/>
    <w:tblPr>
      <w:tblStyleRowBandSize w:val="1"/>
      <w:tblStyleColBandSize w:val="1"/>
      <w:tblCellMar>
        <w:left w:w="115.0" w:type="dxa"/>
        <w:right w:w="115.0" w:type="dxa"/>
      </w:tblCellMar>
    </w:tblPr>
  </w:style>
  <w:style w:type="table" w:styleId="affff2" w:customStyle="1">
    <w:basedOn w:val="TableNormal2"/>
    <w:tblPr>
      <w:tblStyleRowBandSize w:val="1"/>
      <w:tblStyleColBandSize w:val="1"/>
      <w:tblCellMar>
        <w:left w:w="115.0" w:type="dxa"/>
        <w:right w:w="115.0" w:type="dxa"/>
      </w:tblCellMar>
    </w:tblPr>
  </w:style>
  <w:style w:type="table" w:styleId="affff3" w:customStyle="1">
    <w:basedOn w:val="TableNormal2"/>
    <w:tblPr>
      <w:tblStyleRowBandSize w:val="1"/>
      <w:tblStyleColBandSize w:val="1"/>
      <w:tblCellMar>
        <w:left w:w="115.0" w:type="dxa"/>
        <w:right w:w="115.0" w:type="dxa"/>
      </w:tblCellMar>
    </w:tblPr>
  </w:style>
  <w:style w:type="table" w:styleId="affff4" w:customStyle="1">
    <w:basedOn w:val="TableNormal2"/>
    <w:tblPr>
      <w:tblStyleRowBandSize w:val="1"/>
      <w:tblStyleColBandSize w:val="1"/>
      <w:tblCellMar>
        <w:left w:w="115.0" w:type="dxa"/>
        <w:right w:w="115.0" w:type="dxa"/>
      </w:tblCellMar>
    </w:tblPr>
  </w:style>
  <w:style w:type="table" w:styleId="affff5" w:customStyle="1">
    <w:basedOn w:val="TableNormal2"/>
    <w:tblPr>
      <w:tblStyleRowBandSize w:val="1"/>
      <w:tblStyleColBandSize w:val="1"/>
      <w:tblCellMar>
        <w:left w:w="115.0" w:type="dxa"/>
        <w:right w:w="115.0" w:type="dxa"/>
      </w:tblCellMar>
    </w:tblPr>
  </w:style>
  <w:style w:type="table" w:styleId="affff6" w:customStyle="1">
    <w:basedOn w:val="TableNormal2"/>
    <w:tblPr>
      <w:tblStyleRowBandSize w:val="1"/>
      <w:tblStyleColBandSize w:val="1"/>
      <w:tblCellMar>
        <w:left w:w="115.0" w:type="dxa"/>
        <w:right w:w="115.0" w:type="dxa"/>
      </w:tblCellMar>
    </w:tblPr>
  </w:style>
  <w:style w:type="table" w:styleId="affff7" w:customStyle="1">
    <w:basedOn w:val="TableNormal2"/>
    <w:tblPr>
      <w:tblStyleRowBandSize w:val="1"/>
      <w:tblStyleColBandSize w:val="1"/>
      <w:tblCellMar>
        <w:left w:w="115.0" w:type="dxa"/>
        <w:right w:w="115.0" w:type="dxa"/>
      </w:tblCellMar>
    </w:tblPr>
  </w:style>
  <w:style w:type="table" w:styleId="affff8" w:customStyle="1">
    <w:basedOn w:val="TableNormal2"/>
    <w:tblPr>
      <w:tblStyleRowBandSize w:val="1"/>
      <w:tblStyleColBandSize w:val="1"/>
      <w:tblCellMar>
        <w:left w:w="115.0" w:type="dxa"/>
        <w:right w:w="115.0" w:type="dxa"/>
      </w:tblCellMar>
    </w:tblPr>
  </w:style>
  <w:style w:type="table" w:styleId="affff9" w:customStyle="1">
    <w:basedOn w:val="TableNormal2"/>
    <w:tblPr>
      <w:tblStyleRowBandSize w:val="1"/>
      <w:tblStyleColBandSize w:val="1"/>
      <w:tblCellMar>
        <w:left w:w="115.0" w:type="dxa"/>
        <w:right w:w="115.0" w:type="dxa"/>
      </w:tblCellMar>
    </w:tblPr>
  </w:style>
  <w:style w:type="table" w:styleId="affffa" w:customStyle="1">
    <w:basedOn w:val="TableNormal2"/>
    <w:tblPr>
      <w:tblStyleRowBandSize w:val="1"/>
      <w:tblStyleColBandSize w:val="1"/>
      <w:tblCellMar>
        <w:left w:w="115.0" w:type="dxa"/>
        <w:right w:w="115.0" w:type="dxa"/>
      </w:tblCellMar>
    </w:tblPr>
  </w:style>
  <w:style w:type="table" w:styleId="affffb" w:customStyle="1">
    <w:basedOn w:val="TableNormal2"/>
    <w:tblPr>
      <w:tblStyleRowBandSize w:val="1"/>
      <w:tblStyleColBandSize w:val="1"/>
      <w:tblCellMar>
        <w:left w:w="115.0" w:type="dxa"/>
        <w:right w:w="115.0" w:type="dxa"/>
      </w:tblCellMar>
    </w:tblPr>
  </w:style>
  <w:style w:type="table" w:styleId="affffc" w:customStyle="1">
    <w:basedOn w:val="TableNormal2"/>
    <w:tblPr>
      <w:tblStyleRowBandSize w:val="1"/>
      <w:tblStyleColBandSize w:val="1"/>
      <w:tblCellMar>
        <w:left w:w="115.0" w:type="dxa"/>
        <w:right w:w="115.0" w:type="dxa"/>
      </w:tblCellMar>
    </w:tblPr>
  </w:style>
  <w:style w:type="table" w:styleId="affffd" w:customStyle="1">
    <w:basedOn w:val="TableNormal2"/>
    <w:tblPr>
      <w:tblStyleRowBandSize w:val="1"/>
      <w:tblStyleColBandSize w:val="1"/>
      <w:tblCellMar>
        <w:left w:w="115.0" w:type="dxa"/>
        <w:right w:w="115.0" w:type="dxa"/>
      </w:tblCellMar>
    </w:tblPr>
  </w:style>
  <w:style w:type="table" w:styleId="affffe" w:customStyle="1">
    <w:basedOn w:val="TableNormal2"/>
    <w:tblPr>
      <w:tblStyleRowBandSize w:val="1"/>
      <w:tblStyleColBandSize w:val="1"/>
      <w:tblCellMar>
        <w:left w:w="115.0" w:type="dxa"/>
        <w:right w:w="115.0" w:type="dxa"/>
      </w:tblCellMar>
    </w:tblPr>
  </w:style>
  <w:style w:type="table" w:styleId="afffff" w:customStyle="1">
    <w:basedOn w:val="TableNormal2"/>
    <w:tblPr>
      <w:tblStyleRowBandSize w:val="1"/>
      <w:tblStyleColBandSize w:val="1"/>
      <w:tblCellMar>
        <w:left w:w="115.0" w:type="dxa"/>
        <w:right w:w="115.0" w:type="dxa"/>
      </w:tblCellMar>
    </w:tblPr>
  </w:style>
  <w:style w:type="table" w:styleId="afffff0" w:customStyle="1">
    <w:basedOn w:val="TableNormal2"/>
    <w:tblPr>
      <w:tblStyleRowBandSize w:val="1"/>
      <w:tblStyleColBandSize w:val="1"/>
      <w:tblCellMar>
        <w:left w:w="115.0" w:type="dxa"/>
        <w:right w:w="115.0" w:type="dxa"/>
      </w:tblCellMar>
    </w:tblPr>
  </w:style>
  <w:style w:type="table" w:styleId="afffff1" w:customStyle="1">
    <w:basedOn w:val="TableNormal2"/>
    <w:tblPr>
      <w:tblStyleRowBandSize w:val="1"/>
      <w:tblStyleColBandSize w:val="1"/>
      <w:tblCellMar>
        <w:left w:w="115.0" w:type="dxa"/>
        <w:right w:w="115.0" w:type="dxa"/>
      </w:tblCellMar>
    </w:tblPr>
  </w:style>
  <w:style w:type="table" w:styleId="afffff2" w:customStyle="1">
    <w:basedOn w:val="TableNormal2"/>
    <w:tblPr>
      <w:tblStyleRowBandSize w:val="1"/>
      <w:tblStyleColBandSize w:val="1"/>
      <w:tblCellMar>
        <w:left w:w="115.0" w:type="dxa"/>
        <w:right w:w="115.0" w:type="dxa"/>
      </w:tblCellMar>
    </w:tblPr>
  </w:style>
  <w:style w:type="table" w:styleId="afffff3" w:customStyle="1">
    <w:basedOn w:val="TableNormal2"/>
    <w:tblPr>
      <w:tblStyleRowBandSize w:val="1"/>
      <w:tblStyleColBandSize w:val="1"/>
      <w:tblCellMar>
        <w:left w:w="115.0" w:type="dxa"/>
        <w:right w:w="115.0" w:type="dxa"/>
      </w:tblCellMar>
    </w:tblPr>
  </w:style>
  <w:style w:type="table" w:styleId="afffff4" w:customStyle="1">
    <w:basedOn w:val="TableNormal2"/>
    <w:tblPr>
      <w:tblStyleRowBandSize w:val="1"/>
      <w:tblStyleColBandSize w:val="1"/>
      <w:tblCellMar>
        <w:left w:w="115.0" w:type="dxa"/>
        <w:right w:w="115.0" w:type="dxa"/>
      </w:tblCellMar>
    </w:tblPr>
  </w:style>
  <w:style w:type="paragraph" w:styleId="Prrafodelista">
    <w:name w:val="List Paragraph"/>
    <w:basedOn w:val="Normal"/>
    <w:uiPriority w:val="34"/>
    <w:qFormat w:val="1"/>
    <w:rsid w:val="00D860F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100.0" w:type="dxa"/>
        <w:left w:w="115.0" w:type="dxa"/>
        <w:bottom w:w="100.0" w:type="dxa"/>
        <w:right w:w="115.0" w:type="dxa"/>
      </w:tblCellMar>
    </w:tblPr>
  </w:style>
  <w:style w:type="table" w:styleId="Table2">
    <w:basedOn w:val="TableNormal"/>
    <w:pPr>
      <w:ind w:left="0" w:hanging="1"/>
    </w:pPr>
    <w:rPr>
      <w:vertAlign w:val="baseline"/>
    </w:rPr>
    <w:tblPr>
      <w:tblStyleRowBandSize w:val="1"/>
      <w:tblStyleColBandSize w:val="1"/>
      <w:tblCellMar>
        <w:top w:w="100.0" w:type="dxa"/>
        <w:left w:w="115.0" w:type="dxa"/>
        <w:bottom w:w="100.0" w:type="dxa"/>
        <w:right w:w="115.0" w:type="dxa"/>
      </w:tblCellMar>
    </w:tblPr>
  </w:style>
  <w:style w:type="table" w:styleId="Table3">
    <w:basedOn w:val="TableNormal"/>
    <w:pPr>
      <w:ind w:left="0" w:hanging="1"/>
    </w:pPr>
    <w:rPr>
      <w:vertAlign w:val="baseline"/>
    </w:rPr>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pPr>
      <w:ind w:left="0" w:hanging="1"/>
    </w:pPr>
    <w:rPr>
      <w:vertAlign w:val="baseline"/>
    </w:rPr>
    <w:tblPr>
      <w:tblStyleRowBandSize w:val="1"/>
      <w:tblStyleColBandSize w:val="1"/>
      <w:tblCellMar>
        <w:top w:w="100.0" w:type="dxa"/>
        <w:left w:w="115.0" w:type="dxa"/>
        <w:bottom w:w="100.0" w:type="dxa"/>
        <w:right w:w="115.0" w:type="dxa"/>
      </w:tblCellMar>
    </w:tblPr>
  </w:style>
  <w:style w:type="table" w:styleId="Table7">
    <w:basedOn w:val="TableNormal"/>
    <w:pPr>
      <w:ind w:left="0" w:hanging="1"/>
    </w:pPr>
    <w:rPr>
      <w:vertAlign w:val="baseline"/>
    </w:rPr>
    <w:tblPr>
      <w:tblStyleRowBandSize w:val="1"/>
      <w:tblStyleColBandSize w:val="1"/>
      <w:tblCellMar>
        <w:top w:w="100.0" w:type="dxa"/>
        <w:left w:w="115.0" w:type="dxa"/>
        <w:bottom w:w="100.0" w:type="dxa"/>
        <w:right w:w="115.0" w:type="dxa"/>
      </w:tblCellMar>
    </w:tblPr>
  </w:style>
  <w:style w:type="table" w:styleId="Table8">
    <w:basedOn w:val="TableNormal"/>
    <w:pPr>
      <w:ind w:left="0" w:hanging="1"/>
    </w:pPr>
    <w:rPr>
      <w:vertAlign w:val="baseline"/>
    </w:rPr>
    <w:tblPr>
      <w:tblStyleRowBandSize w:val="1"/>
      <w:tblStyleColBandSize w:val="1"/>
      <w:tblCellMar>
        <w:top w:w="100.0" w:type="dxa"/>
        <w:left w:w="115.0" w:type="dxa"/>
        <w:bottom w:w="100.0" w:type="dxa"/>
        <w:right w:w="115.0" w:type="dxa"/>
      </w:tblCellMar>
    </w:tblPr>
  </w:style>
  <w:style w:type="table" w:styleId="Table9">
    <w:basedOn w:val="TableNormal"/>
    <w:pPr>
      <w:ind w:left="0" w:hanging="1"/>
    </w:pPr>
    <w:rPr>
      <w:vertAlign w:val="baseline"/>
    </w:rPr>
    <w:tblPr>
      <w:tblStyleRowBandSize w:val="1"/>
      <w:tblStyleColBandSize w:val="1"/>
      <w:tblCellMar>
        <w:top w:w="100.0" w:type="dxa"/>
        <w:left w:w="115.0" w:type="dxa"/>
        <w:bottom w:w="100.0" w:type="dxa"/>
        <w:right w:w="115.0" w:type="dxa"/>
      </w:tblCellMar>
    </w:tblPr>
  </w:style>
  <w:style w:type="table" w:styleId="Table10">
    <w:basedOn w:val="TableNormal"/>
    <w:pPr>
      <w:ind w:left="0" w:hanging="1"/>
    </w:pPr>
    <w:rPr>
      <w:vertAlign w:val="baseline"/>
    </w:rPr>
    <w:tblPr>
      <w:tblStyleRowBandSize w:val="1"/>
      <w:tblStyleColBandSize w:val="1"/>
      <w:tblCellMar>
        <w:top w:w="100.0" w:type="dxa"/>
        <w:left w:w="115.0" w:type="dxa"/>
        <w:bottom w:w="100.0" w:type="dxa"/>
        <w:right w:w="115.0" w:type="dxa"/>
      </w:tblCellMar>
    </w:tblPr>
  </w:style>
  <w:style w:type="table" w:styleId="Table11">
    <w:basedOn w:val="TableNormal"/>
    <w:pPr>
      <w:ind w:left="0" w:hanging="1"/>
    </w:pPr>
    <w:rPr>
      <w:vertAlign w:val="baseline"/>
    </w:rPr>
    <w:tblPr>
      <w:tblStyleRowBandSize w:val="1"/>
      <w:tblStyleColBandSize w:val="1"/>
      <w:tblCellMar>
        <w:top w:w="100.0" w:type="dxa"/>
        <w:left w:w="115.0" w:type="dxa"/>
        <w:bottom w:w="100.0" w:type="dxa"/>
        <w:right w:w="115.0" w:type="dxa"/>
      </w:tblCellMar>
    </w:tblPr>
  </w:style>
  <w:style w:type="table" w:styleId="Table12">
    <w:basedOn w:val="TableNormal"/>
    <w:pPr>
      <w:ind w:left="0" w:hanging="1"/>
    </w:pPr>
    <w:rPr>
      <w:vertAlign w:val="baseline"/>
    </w:rPr>
    <w:tblPr>
      <w:tblStyleRowBandSize w:val="1"/>
      <w:tblStyleColBandSize w:val="1"/>
      <w:tblCellMar>
        <w:top w:w="100.0" w:type="dxa"/>
        <w:left w:w="115.0" w:type="dxa"/>
        <w:bottom w:w="100.0" w:type="dxa"/>
        <w:right w:w="115.0" w:type="dxa"/>
      </w:tblCellMar>
    </w:tblPr>
  </w:style>
  <w:style w:type="table" w:styleId="Table13">
    <w:basedOn w:val="TableNormal"/>
    <w:pPr>
      <w:ind w:left="0" w:hanging="1"/>
    </w:pPr>
    <w:rPr>
      <w:vertAlign w:val="baseline"/>
    </w:rPr>
    <w:tblPr>
      <w:tblStyleRowBandSize w:val="1"/>
      <w:tblStyleColBandSize w:val="1"/>
      <w:tblCellMar>
        <w:top w:w="100.0" w:type="dxa"/>
        <w:left w:w="115.0" w:type="dxa"/>
        <w:bottom w:w="100.0" w:type="dxa"/>
        <w:right w:w="115.0" w:type="dxa"/>
      </w:tblCellMar>
    </w:tblPr>
  </w:style>
  <w:style w:type="table" w:styleId="Table14">
    <w:basedOn w:val="TableNormal"/>
    <w:pPr>
      <w:ind w:left="0" w:hanging="1"/>
    </w:pPr>
    <w:rPr>
      <w:vertAlign w:val="baseline"/>
    </w:rPr>
    <w:tblPr>
      <w:tblStyleRowBandSize w:val="1"/>
      <w:tblStyleColBandSize w:val="1"/>
      <w:tblCellMar>
        <w:top w:w="100.0" w:type="dxa"/>
        <w:left w:w="115.0" w:type="dxa"/>
        <w:bottom w:w="100.0" w:type="dxa"/>
        <w:right w:w="115.0" w:type="dxa"/>
      </w:tblCellMar>
    </w:tblPr>
  </w:style>
  <w:style w:type="table" w:styleId="Table15">
    <w:basedOn w:val="TableNormal"/>
    <w:pPr>
      <w:ind w:left="0" w:hanging="1"/>
    </w:pPr>
    <w:rPr>
      <w:vertAlign w:val="baseline"/>
    </w:rPr>
    <w:tblPr>
      <w:tblStyleRowBandSize w:val="1"/>
      <w:tblStyleColBandSize w:val="1"/>
      <w:tblCellMar>
        <w:top w:w="100.0" w:type="dxa"/>
        <w:left w:w="115.0" w:type="dxa"/>
        <w:bottom w:w="100.0" w:type="dxa"/>
        <w:right w:w="115.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pPr>
      <w:ind w:left="0" w:hanging="1"/>
    </w:pPr>
    <w:rPr>
      <w:vertAlign w:val="baseline"/>
    </w:rPr>
    <w:tblPr>
      <w:tblStyleRowBandSize w:val="1"/>
      <w:tblStyleColBandSize w:val="1"/>
      <w:tblCellMar>
        <w:top w:w="100.0" w:type="dxa"/>
        <w:left w:w="115.0" w:type="dxa"/>
        <w:bottom w:w="100.0" w:type="dxa"/>
        <w:right w:w="115.0" w:type="dxa"/>
      </w:tblCellMar>
    </w:tblPr>
  </w:style>
  <w:style w:type="table" w:styleId="Table18">
    <w:basedOn w:val="TableNormal"/>
    <w:pPr>
      <w:ind w:left="0" w:hanging="1"/>
    </w:pPr>
    <w:rPr>
      <w:vertAlign w:val="baseline"/>
    </w:rPr>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KrVIhDG2sgpDHnm8ZE1UF6S/iA==">AMUW2mV+hIzmrB1B282EwxGJepvzy7xlnkc504yv9/vkp7GZyIkWT/CbpUKrrA1V0ALf/xgjelO9BcfFOoKLLgqRNdWGF7N/EOKVroIhF7GAJF4tECvoQUM=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2021-10-01T17:25:00Z</dcterms:created>
  <dc:creator>Nicolás Puebla</dc:creator>
</cp:coreProperties>
</file>