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9965" w14:textId="77777777" w:rsidR="00A34808" w:rsidRPr="00C77EB0" w:rsidRDefault="000869F6" w:rsidP="00E608F8">
      <w:pPr>
        <w:jc w:val="center"/>
        <w:rPr>
          <w:rFonts w:ascii="Verdana" w:eastAsia="Times New Roman" w:hAnsi="Verdana" w:cs="Calibri"/>
          <w:b/>
          <w:bCs/>
          <w:iCs/>
          <w:color w:val="B6DDE8" w:themeColor="accent5" w:themeTint="66"/>
          <w:sz w:val="32"/>
          <w:szCs w:val="20"/>
          <w:lang w:eastAsia="es-ES"/>
        </w:rPr>
      </w:pPr>
      <w:r w:rsidRPr="00C77EB0">
        <w:rPr>
          <w:rFonts w:ascii="Verdana" w:eastAsia="Times New Roman" w:hAnsi="Verdana" w:cs="Calibri"/>
          <w:b/>
          <w:bCs/>
          <w:iCs/>
          <w:color w:val="B6DDE8" w:themeColor="accent5" w:themeTint="66"/>
          <w:sz w:val="32"/>
          <w:szCs w:val="20"/>
          <w:lang w:eastAsia="es-ES"/>
        </w:rPr>
        <w:t xml:space="preserve">PROCEDIMIENTO DE </w:t>
      </w:r>
      <w:r w:rsidR="00C77EB0">
        <w:rPr>
          <w:rFonts w:ascii="Verdana" w:eastAsia="Times New Roman" w:hAnsi="Verdana" w:cs="Calibri"/>
          <w:b/>
          <w:bCs/>
          <w:iCs/>
          <w:color w:val="B6DDE8" w:themeColor="accent5" w:themeTint="66"/>
          <w:sz w:val="32"/>
          <w:szCs w:val="20"/>
          <w:lang w:eastAsia="es-ES"/>
        </w:rPr>
        <w:t>APLICACIÓN DE VACUNA ANTIAFTOSA</w:t>
      </w:r>
    </w:p>
    <w:p w14:paraId="44E485FE" w14:textId="77777777" w:rsidR="00A34808" w:rsidRPr="004875B1" w:rsidRDefault="00A34808" w:rsidP="00E608F8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Instrumental: </w:t>
      </w:r>
    </w:p>
    <w:p w14:paraId="0DF533FF" w14:textId="77777777" w:rsidR="00DD4881" w:rsidRPr="004875B1" w:rsidRDefault="00A34808" w:rsidP="00E608F8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  <w:u w:val="single"/>
        </w:rPr>
        <w:t>Jeringas:</w:t>
      </w:r>
      <w:r w:rsidRPr="004875B1">
        <w:rPr>
          <w:rFonts w:ascii="Verdana" w:hAnsi="Verdana"/>
          <w:sz w:val="20"/>
        </w:rPr>
        <w:t xml:space="preserve"> </w:t>
      </w:r>
    </w:p>
    <w:p w14:paraId="12D8857F" w14:textId="2DCB664C" w:rsidR="00A34808" w:rsidRPr="004875B1" w:rsidRDefault="00A34808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Disponer como mínimo de dos (2) jeringas </w:t>
      </w:r>
      <w:proofErr w:type="gramStart"/>
      <w:r w:rsidRPr="004875B1">
        <w:rPr>
          <w:rFonts w:ascii="Verdana" w:hAnsi="Verdana"/>
          <w:sz w:val="20"/>
        </w:rPr>
        <w:t>metálicas  automáticas</w:t>
      </w:r>
      <w:proofErr w:type="gramEnd"/>
      <w:r w:rsidRPr="004875B1">
        <w:rPr>
          <w:rFonts w:ascii="Verdana" w:hAnsi="Verdana"/>
          <w:sz w:val="20"/>
        </w:rPr>
        <w:t xml:space="preserve"> de 50 cc en buen estado de funcionamiento, para vacunación antiaftosa, </w:t>
      </w:r>
      <w:r w:rsidR="005900CB" w:rsidRPr="004875B1">
        <w:rPr>
          <w:rFonts w:ascii="Verdana" w:hAnsi="Verdana"/>
          <w:sz w:val="20"/>
        </w:rPr>
        <w:t>así</w:t>
      </w:r>
      <w:r w:rsidRPr="004875B1">
        <w:rPr>
          <w:rFonts w:ascii="Verdana" w:hAnsi="Verdana"/>
          <w:sz w:val="20"/>
        </w:rPr>
        <w:t xml:space="preserve"> como una adecuada </w:t>
      </w:r>
      <w:r w:rsidR="000D03F4" w:rsidRPr="004875B1">
        <w:rPr>
          <w:rFonts w:ascii="Verdana" w:hAnsi="Verdana"/>
          <w:sz w:val="20"/>
        </w:rPr>
        <w:t>provisión</w:t>
      </w:r>
      <w:r w:rsidRPr="004875B1">
        <w:rPr>
          <w:rFonts w:ascii="Verdana" w:hAnsi="Verdana"/>
          <w:sz w:val="20"/>
        </w:rPr>
        <w:t xml:space="preserve"> de repuestos (émbolos, arandela </w:t>
      </w:r>
      <w:r w:rsidR="000D03F4" w:rsidRPr="004875B1">
        <w:rPr>
          <w:rFonts w:ascii="Verdana" w:hAnsi="Verdana"/>
          <w:sz w:val="20"/>
        </w:rPr>
        <w:t xml:space="preserve">s, etc). El material debe estar limpio y desinfectado previo al inicio de la tarea. </w:t>
      </w:r>
    </w:p>
    <w:p w14:paraId="17861408" w14:textId="77777777" w:rsidR="000D03F4" w:rsidRDefault="003B0E32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Nunca utilizar jeringas que hayan sido usadas con vacuna antibrucélica para aplicar la vacuna antiaftosa y viceversa </w:t>
      </w:r>
    </w:p>
    <w:p w14:paraId="353EE7D5" w14:textId="77777777" w:rsidR="00E608F8" w:rsidRPr="004875B1" w:rsidRDefault="00E608F8" w:rsidP="00E608F8">
      <w:pPr>
        <w:pStyle w:val="Prrafodelista"/>
        <w:ind w:left="1080"/>
        <w:jc w:val="both"/>
        <w:rPr>
          <w:rFonts w:ascii="Verdana" w:hAnsi="Verdana"/>
          <w:sz w:val="20"/>
        </w:rPr>
      </w:pPr>
    </w:p>
    <w:p w14:paraId="0DBB47E8" w14:textId="77777777" w:rsidR="00DD4881" w:rsidRPr="004875B1" w:rsidRDefault="00925957" w:rsidP="00E608F8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u w:val="single"/>
        </w:rPr>
      </w:pPr>
      <w:r w:rsidRPr="004875B1">
        <w:rPr>
          <w:rFonts w:ascii="Verdana" w:hAnsi="Verdana"/>
          <w:sz w:val="20"/>
          <w:u w:val="single"/>
        </w:rPr>
        <w:t>Agujas</w:t>
      </w:r>
      <w:r w:rsidR="00250FE1" w:rsidRPr="004875B1">
        <w:rPr>
          <w:rFonts w:ascii="Verdana" w:hAnsi="Verdana"/>
          <w:sz w:val="20"/>
          <w:u w:val="single"/>
        </w:rPr>
        <w:t>:</w:t>
      </w:r>
      <w:r w:rsidR="00250FE1" w:rsidRPr="004875B1">
        <w:rPr>
          <w:rFonts w:ascii="Verdana" w:hAnsi="Verdana"/>
          <w:sz w:val="20"/>
        </w:rPr>
        <w:t xml:space="preserve"> </w:t>
      </w:r>
    </w:p>
    <w:p w14:paraId="64C25051" w14:textId="77777777" w:rsidR="003B0E32" w:rsidRPr="004875B1" w:rsidRDefault="00250FE1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u w:val="single"/>
        </w:rPr>
      </w:pPr>
      <w:r w:rsidRPr="004875B1">
        <w:rPr>
          <w:rFonts w:ascii="Verdana" w:hAnsi="Verdana"/>
          <w:sz w:val="20"/>
        </w:rPr>
        <w:t>Contar</w:t>
      </w:r>
      <w:r w:rsidR="00925957" w:rsidRPr="004875B1">
        <w:rPr>
          <w:rFonts w:ascii="Verdana" w:hAnsi="Verdana"/>
          <w:sz w:val="20"/>
        </w:rPr>
        <w:t xml:space="preserve"> con la suficiente cantidad de agujas considerando el estimado de bovinos/bubalinos  a ser vacunados</w:t>
      </w:r>
      <w:r w:rsidRPr="004875B1">
        <w:rPr>
          <w:rFonts w:ascii="Verdana" w:hAnsi="Verdana"/>
          <w:sz w:val="20"/>
        </w:rPr>
        <w:t>.</w:t>
      </w:r>
    </w:p>
    <w:p w14:paraId="0D9026BE" w14:textId="3786C270" w:rsidR="00250FE1" w:rsidRPr="004875B1" w:rsidRDefault="00250FE1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u w:val="single"/>
        </w:rPr>
      </w:pPr>
      <w:r w:rsidRPr="004875B1">
        <w:rPr>
          <w:rFonts w:ascii="Verdana" w:hAnsi="Verdana"/>
          <w:sz w:val="20"/>
        </w:rPr>
        <w:t xml:space="preserve">Se debe cambiar la aguja con cada carga de jeringa para mantener la vacuna </w:t>
      </w:r>
      <w:r w:rsidR="005900CB" w:rsidRPr="004875B1">
        <w:rPr>
          <w:rFonts w:ascii="Verdana" w:hAnsi="Verdana"/>
          <w:sz w:val="20"/>
        </w:rPr>
        <w:t>estéril</w:t>
      </w:r>
      <w:r w:rsidRPr="004875B1">
        <w:rPr>
          <w:rFonts w:ascii="Verdana" w:hAnsi="Verdana"/>
          <w:sz w:val="20"/>
        </w:rPr>
        <w:t xml:space="preserve">. </w:t>
      </w:r>
    </w:p>
    <w:p w14:paraId="6E2B0F67" w14:textId="77777777" w:rsidR="00250FE1" w:rsidRPr="004875B1" w:rsidRDefault="00250FE1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u w:val="single"/>
        </w:rPr>
      </w:pPr>
      <w:r w:rsidRPr="004875B1">
        <w:rPr>
          <w:rFonts w:ascii="Verdana" w:hAnsi="Verdana"/>
          <w:sz w:val="20"/>
        </w:rPr>
        <w:t xml:space="preserve">Las agujas pueden ser desinfectadas depositándolas en un recipiente con </w:t>
      </w:r>
      <w:proofErr w:type="spellStart"/>
      <w:r w:rsidRPr="004875B1">
        <w:rPr>
          <w:rFonts w:ascii="Verdana" w:hAnsi="Verdana"/>
          <w:sz w:val="20"/>
        </w:rPr>
        <w:t>iodopovidona</w:t>
      </w:r>
      <w:proofErr w:type="spellEnd"/>
      <w:r w:rsidRPr="004875B1">
        <w:rPr>
          <w:rFonts w:ascii="Verdana" w:hAnsi="Verdana"/>
          <w:sz w:val="20"/>
        </w:rPr>
        <w:t xml:space="preserve">  diluida 1/5.</w:t>
      </w:r>
    </w:p>
    <w:p w14:paraId="04FACE18" w14:textId="77777777" w:rsidR="00250FE1" w:rsidRPr="004875B1" w:rsidRDefault="00250FE1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u w:val="single"/>
        </w:rPr>
      </w:pPr>
      <w:r w:rsidRPr="004875B1">
        <w:rPr>
          <w:rFonts w:ascii="Verdana" w:hAnsi="Verdana"/>
          <w:sz w:val="20"/>
        </w:rPr>
        <w:t>Las agujas cuyo bisel, punta o filo se deterioren serán desechadas</w:t>
      </w:r>
    </w:p>
    <w:p w14:paraId="24C122F2" w14:textId="77777777" w:rsidR="000C66DC" w:rsidRPr="004875B1" w:rsidRDefault="000C66DC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u w:val="single"/>
        </w:rPr>
      </w:pPr>
      <w:r w:rsidRPr="004875B1">
        <w:rPr>
          <w:rFonts w:ascii="Verdana" w:hAnsi="Verdana"/>
          <w:sz w:val="20"/>
        </w:rPr>
        <w:t>Medidas: Para aplicación intramuscular en adultos 20x20 y 15x18 para terneros</w:t>
      </w:r>
    </w:p>
    <w:p w14:paraId="2066688B" w14:textId="77777777" w:rsidR="000C66DC" w:rsidRPr="004875B1" w:rsidRDefault="007F1777" w:rsidP="00E608F8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Vacuna antiaftosa: </w:t>
      </w:r>
    </w:p>
    <w:p w14:paraId="13C5730B" w14:textId="77777777" w:rsidR="00FD1FC5" w:rsidRPr="004875B1" w:rsidRDefault="00FD1FC5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Debe mantenerse refrigerada  entre 2°C y 8°C. </w:t>
      </w:r>
      <w:r w:rsidRPr="004875B1">
        <w:rPr>
          <w:rFonts w:ascii="Verdana" w:hAnsi="Verdana"/>
          <w:sz w:val="20"/>
          <w:u w:val="single"/>
        </w:rPr>
        <w:t>NO CONGELAR</w:t>
      </w:r>
    </w:p>
    <w:p w14:paraId="18DB189B" w14:textId="77777777" w:rsidR="00822D96" w:rsidRPr="004875B1" w:rsidRDefault="00822D96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Debe ser transportada en cajas térmicas con cierre hermético y </w:t>
      </w:r>
      <w:r w:rsidR="00712D36" w:rsidRPr="004875B1">
        <w:rPr>
          <w:rFonts w:ascii="Verdana" w:hAnsi="Verdana"/>
          <w:sz w:val="20"/>
        </w:rPr>
        <w:t>refrigerantes</w:t>
      </w:r>
      <w:r w:rsidRPr="004875B1">
        <w:rPr>
          <w:rFonts w:ascii="Verdana" w:hAnsi="Verdana"/>
          <w:sz w:val="20"/>
        </w:rPr>
        <w:t xml:space="preserve"> en cantidad suficiente (3 refrigerantes por cada frasco de vacuna) y termómetro que registra el mantenimiento de la cadena de frio.</w:t>
      </w:r>
    </w:p>
    <w:p w14:paraId="284BC136" w14:textId="3BF91AB3" w:rsidR="00822D96" w:rsidRPr="004875B1" w:rsidRDefault="00822D96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Cuando se trasladen cantidades superiores a 1000 dosis deben utilizarse 2 cajas térmicas: Una principal donde se mantiene la mayor parte de la vacuna y otra secundaria </w:t>
      </w:r>
      <w:r w:rsidR="00090C2B" w:rsidRPr="004875B1">
        <w:rPr>
          <w:rFonts w:ascii="Verdana" w:hAnsi="Verdana"/>
          <w:sz w:val="20"/>
        </w:rPr>
        <w:t>con no más de 2 frascos</w:t>
      </w:r>
      <w:r w:rsidR="00C17935" w:rsidRPr="004875B1">
        <w:rPr>
          <w:rFonts w:ascii="Verdana" w:hAnsi="Verdana"/>
          <w:sz w:val="20"/>
        </w:rPr>
        <w:t xml:space="preserve"> para la tarea operativa de la aplicación. </w:t>
      </w:r>
      <w:r w:rsidR="00622DEA" w:rsidRPr="004875B1">
        <w:rPr>
          <w:rFonts w:ascii="Verdana" w:hAnsi="Verdana"/>
          <w:sz w:val="20"/>
        </w:rPr>
        <w:t xml:space="preserve"> En ambos casos, las heladeras han de estar a resguardo de los rayos solares.</w:t>
      </w:r>
    </w:p>
    <w:p w14:paraId="7D3FF25B" w14:textId="77777777" w:rsidR="00A67E84" w:rsidRPr="004875B1" w:rsidRDefault="00A67E84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Durante la aplicación, luego de cargar la vacuna en la jeringa y </w:t>
      </w:r>
      <w:r w:rsidR="00E30DC0" w:rsidRPr="004875B1">
        <w:rPr>
          <w:rFonts w:ascii="Verdana" w:hAnsi="Verdana"/>
          <w:sz w:val="20"/>
        </w:rPr>
        <w:t>durante los entretiempos que genera el encierre de los animales, el vacunador deberá guardar la jeringa dentro de la caja térmica de transporte.</w:t>
      </w:r>
      <w:r w:rsidR="007E0B78" w:rsidRPr="004875B1">
        <w:rPr>
          <w:rFonts w:ascii="Verdana" w:hAnsi="Verdana"/>
          <w:sz w:val="20"/>
        </w:rPr>
        <w:t xml:space="preserve"> No guardar el frasco en los bolsillos o apoyar la jeringa sobre postes o maderas expuestas al sol.</w:t>
      </w:r>
    </w:p>
    <w:p w14:paraId="194180AD" w14:textId="77777777" w:rsidR="00A307FF" w:rsidRPr="004875B1" w:rsidRDefault="00A307FF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>Es muy importante agitar el frasco con el fin de mezclar bien su contenido, esperando un breve tiempo para que desaparezcan las gotas de aire que se forman.</w:t>
      </w:r>
    </w:p>
    <w:p w14:paraId="00F22AD1" w14:textId="77777777" w:rsidR="00A307FF" w:rsidRPr="004875B1" w:rsidRDefault="00AF6852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La dosis es de 2 ml en bovinos y bubalinos. Puede ser administrada </w:t>
      </w:r>
      <w:proofErr w:type="spellStart"/>
      <w:r w:rsidRPr="004875B1">
        <w:rPr>
          <w:rFonts w:ascii="Verdana" w:hAnsi="Verdana"/>
          <w:sz w:val="20"/>
        </w:rPr>
        <w:t>via</w:t>
      </w:r>
      <w:proofErr w:type="spellEnd"/>
      <w:r w:rsidRPr="004875B1">
        <w:rPr>
          <w:rFonts w:ascii="Verdana" w:hAnsi="Verdana"/>
          <w:sz w:val="20"/>
        </w:rPr>
        <w:t xml:space="preserve"> intramuscular o subcutánea. </w:t>
      </w:r>
    </w:p>
    <w:p w14:paraId="65614FB7" w14:textId="77777777" w:rsidR="00AF6852" w:rsidRPr="004875B1" w:rsidRDefault="00AF6852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>La aplicación en bovinos será preferentemente en el tercio medio superior de la tabla del cuello, por vía intramuscular o subcutánea.</w:t>
      </w:r>
    </w:p>
    <w:p w14:paraId="613C1DBC" w14:textId="77777777" w:rsidR="00D821FB" w:rsidRPr="004875B1" w:rsidRDefault="00D821FB" w:rsidP="00E608F8">
      <w:pPr>
        <w:rPr>
          <w:rFonts w:ascii="Verdana" w:hAnsi="Verdana"/>
          <w:sz w:val="20"/>
        </w:rPr>
      </w:pPr>
    </w:p>
    <w:p w14:paraId="34CFA513" w14:textId="77777777" w:rsidR="00D821FB" w:rsidRPr="004875B1" w:rsidRDefault="00D821FB" w:rsidP="00E608F8">
      <w:pPr>
        <w:jc w:val="center"/>
        <w:rPr>
          <w:rFonts w:ascii="Verdana" w:hAnsi="Verdana"/>
          <w:sz w:val="20"/>
        </w:rPr>
      </w:pPr>
      <w:r w:rsidRPr="004875B1">
        <w:rPr>
          <w:rFonts w:ascii="Verdana" w:hAnsi="Verdana"/>
          <w:noProof/>
          <w:sz w:val="20"/>
          <w:lang w:eastAsia="es-AR"/>
        </w:rPr>
        <w:lastRenderedPageBreak/>
        <w:drawing>
          <wp:inline distT="0" distB="0" distL="0" distR="0" wp14:anchorId="7D9EE594" wp14:editId="53DA608A">
            <wp:extent cx="3957224" cy="288000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2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99C7" w14:textId="31F697CF" w:rsidR="00E812D4" w:rsidRPr="00E608F8" w:rsidRDefault="005E23AF" w:rsidP="00E608F8">
      <w:pPr>
        <w:jc w:val="center"/>
        <w:rPr>
          <w:rFonts w:ascii="Verdana" w:hAnsi="Verdana"/>
          <w:sz w:val="16"/>
          <w:szCs w:val="18"/>
        </w:rPr>
      </w:pPr>
      <w:r w:rsidRPr="00E608F8">
        <w:rPr>
          <w:rFonts w:ascii="Verdana" w:hAnsi="Verdana"/>
          <w:noProof/>
          <w:sz w:val="16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4D6ADA" wp14:editId="1FF9CE4D">
                <wp:simplePos x="0" y="0"/>
                <wp:positionH relativeFrom="column">
                  <wp:posOffset>761365</wp:posOffset>
                </wp:positionH>
                <wp:positionV relativeFrom="paragraph">
                  <wp:posOffset>704850</wp:posOffset>
                </wp:positionV>
                <wp:extent cx="4210050" cy="704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88A3" w14:textId="77777777" w:rsidR="00767797" w:rsidRDefault="00767797" w:rsidP="00126CD1">
                            <w:pPr>
                              <w:ind w:left="720"/>
                            </w:pPr>
                            <w:r>
                              <w:t>El vacunador será responsable junto con el propietario de vacunar la totalidad de los bovinos y bubalinos del predio considerando la estrategia de vacunación de cada región.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6A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95pt;margin-top:55.5pt;width:331.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XgDQIAAB8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">
                <v:textbox>
                  <w:txbxContent>
                    <w:p w14:paraId="2B5888A3" w14:textId="77777777" w:rsidR="00767797" w:rsidRDefault="00767797" w:rsidP="00126CD1">
                      <w:pPr>
                        <w:ind w:left="720"/>
                      </w:pPr>
                      <w:r>
                        <w:t>El vacunador será responsable junto con el propietario de vacunar la totalidad de los bovinos y bubalinos del predio considerando la estrategia de vacunación de cada región.</w:t>
                      </w:r>
                    </w:p>
                  </w:txbxContent>
                </v:textbox>
              </v:shape>
            </w:pict>
          </mc:Fallback>
        </mc:AlternateContent>
      </w:r>
      <w:r w:rsidR="00D821FB" w:rsidRPr="00E608F8">
        <w:rPr>
          <w:rFonts w:ascii="Verdana" w:hAnsi="Verdana"/>
          <w:b/>
          <w:sz w:val="16"/>
          <w:szCs w:val="18"/>
        </w:rPr>
        <w:t>Figura N°1.</w:t>
      </w:r>
      <w:r w:rsidR="00D821FB" w:rsidRPr="00E608F8">
        <w:rPr>
          <w:rFonts w:ascii="Verdana" w:hAnsi="Verdana"/>
          <w:sz w:val="16"/>
          <w:szCs w:val="18"/>
        </w:rPr>
        <w:t xml:space="preserve"> Sitio de aplicación intramuscular en la tabla del cuello de la vacuna antiaftosa en bovinos y bubalinos</w:t>
      </w:r>
    </w:p>
    <w:p w14:paraId="21A432E6" w14:textId="77777777" w:rsidR="00E812D4" w:rsidRPr="004875B1" w:rsidRDefault="00E812D4" w:rsidP="00E608F8">
      <w:pPr>
        <w:rPr>
          <w:rFonts w:ascii="Verdana" w:hAnsi="Verdana"/>
          <w:sz w:val="20"/>
        </w:rPr>
      </w:pPr>
    </w:p>
    <w:p w14:paraId="33415F99" w14:textId="77777777" w:rsidR="00E812D4" w:rsidRPr="004875B1" w:rsidRDefault="00E812D4" w:rsidP="00E608F8">
      <w:pPr>
        <w:rPr>
          <w:rFonts w:ascii="Verdana" w:hAnsi="Verdana"/>
          <w:sz w:val="20"/>
        </w:rPr>
      </w:pPr>
    </w:p>
    <w:p w14:paraId="6DFD3357" w14:textId="77777777" w:rsidR="00E812D4" w:rsidRPr="004875B1" w:rsidRDefault="00E812D4" w:rsidP="00E608F8">
      <w:pPr>
        <w:rPr>
          <w:rFonts w:ascii="Verdana" w:hAnsi="Verdana"/>
          <w:sz w:val="20"/>
        </w:rPr>
      </w:pPr>
    </w:p>
    <w:p w14:paraId="25A78ABE" w14:textId="5C2AC174" w:rsidR="00E812D4" w:rsidRPr="004875B1" w:rsidRDefault="00E608F8" w:rsidP="00E608F8">
      <w:pPr>
        <w:rPr>
          <w:rFonts w:ascii="Verdana" w:hAnsi="Verdana"/>
          <w:sz w:val="20"/>
        </w:rPr>
      </w:pPr>
      <w:r w:rsidRPr="00E608F8">
        <w:rPr>
          <w:rFonts w:ascii="Verdana" w:hAnsi="Verdana"/>
          <w:noProof/>
          <w:sz w:val="16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B67F0C" wp14:editId="118EF9A5">
                <wp:simplePos x="0" y="0"/>
                <wp:positionH relativeFrom="column">
                  <wp:posOffset>310515</wp:posOffset>
                </wp:positionH>
                <wp:positionV relativeFrom="paragraph">
                  <wp:posOffset>270510</wp:posOffset>
                </wp:positionV>
                <wp:extent cx="5372100" cy="4667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16A3" w14:textId="6F4C7680" w:rsidR="00767797" w:rsidRDefault="00767797" w:rsidP="005E23AF">
                            <w:pPr>
                              <w:jc w:val="center"/>
                            </w:pPr>
                            <w:r>
                              <w:t>Detener la vacunación y comunicar en forma inmediata a la oficina del Senasa si se observan animales con síntomas de babeo, manqueras o renguera</w:t>
                            </w:r>
                            <w:r w:rsidR="00E608F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7F0C" id="_x0000_s1027" type="#_x0000_t202" style="position:absolute;margin-left:24.45pt;margin-top:21.3pt;width:423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yEQIAACY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">
                <v:textbox>
                  <w:txbxContent>
                    <w:p w14:paraId="17F316A3" w14:textId="6F4C7680" w:rsidR="00767797" w:rsidRDefault="00767797" w:rsidP="005E23AF">
                      <w:pPr>
                        <w:jc w:val="center"/>
                      </w:pPr>
                      <w:r>
                        <w:t>Detener la vacunación y comunicar en forma inmediata a la oficina del Senasa si se observan animales con síntomas de babeo, manqueras o renguera</w:t>
                      </w:r>
                      <w:r w:rsidR="00E608F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7825180" w14:textId="77777777" w:rsidR="00E812D4" w:rsidRPr="004875B1" w:rsidRDefault="00E812D4" w:rsidP="00E608F8">
      <w:pPr>
        <w:rPr>
          <w:rFonts w:ascii="Verdana" w:hAnsi="Verdana"/>
          <w:sz w:val="20"/>
        </w:rPr>
      </w:pPr>
    </w:p>
    <w:p w14:paraId="4D7D5100" w14:textId="77777777" w:rsidR="00E812D4" w:rsidRPr="004875B1" w:rsidRDefault="00E812D4" w:rsidP="00E608F8">
      <w:pPr>
        <w:jc w:val="both"/>
        <w:rPr>
          <w:rFonts w:ascii="Verdana" w:hAnsi="Verdana"/>
          <w:sz w:val="20"/>
        </w:rPr>
      </w:pPr>
    </w:p>
    <w:p w14:paraId="20794C37" w14:textId="77777777" w:rsidR="004F368C" w:rsidRPr="004875B1" w:rsidRDefault="00E812D4" w:rsidP="00E608F8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>Acta de vacunación:</w:t>
      </w:r>
    </w:p>
    <w:p w14:paraId="686D8BF5" w14:textId="77777777" w:rsidR="00767797" w:rsidRPr="004875B1" w:rsidRDefault="00767797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 xml:space="preserve">Finalizada la aplicación, es responsabilidad del vacunador acreditado la correcta confección del Acta de vacunación, completando toda la información solicitada. </w:t>
      </w:r>
    </w:p>
    <w:p w14:paraId="4D9F15C3" w14:textId="77777777" w:rsidR="00767797" w:rsidRPr="004875B1" w:rsidRDefault="00767797" w:rsidP="00E608F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4875B1">
        <w:rPr>
          <w:rFonts w:ascii="Verdana" w:hAnsi="Verdana"/>
          <w:sz w:val="20"/>
        </w:rPr>
        <w:t>Finalizada la confección del acta de vacunación y verificada la exactitud de los datos consignados, esta será firmada por el vacunador acreditado y el propietario o responsable de los bovinos/bubalinos presente durante la vacunación.</w:t>
      </w:r>
    </w:p>
    <w:p w14:paraId="6B12B8EC" w14:textId="77777777" w:rsidR="004875B1" w:rsidRPr="004875B1" w:rsidRDefault="00B23E66" w:rsidP="00E608F8">
      <w:pPr>
        <w:rPr>
          <w:rFonts w:ascii="Verdana" w:hAnsi="Verdana"/>
          <w:sz w:val="20"/>
        </w:rPr>
      </w:pPr>
      <w:r w:rsidRPr="004875B1">
        <w:rPr>
          <w:rFonts w:ascii="Verdana" w:hAnsi="Verdana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C4516B" wp14:editId="1D254234">
                <wp:simplePos x="0" y="0"/>
                <wp:positionH relativeFrom="column">
                  <wp:posOffset>424815</wp:posOffset>
                </wp:positionH>
                <wp:positionV relativeFrom="paragraph">
                  <wp:posOffset>9525</wp:posOffset>
                </wp:positionV>
                <wp:extent cx="4743450" cy="53340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CE83" w14:textId="6F202F59" w:rsidR="00B23E66" w:rsidRDefault="00B23E66" w:rsidP="00E608F8">
                            <w:pPr>
                              <w:jc w:val="center"/>
                            </w:pPr>
                            <w:r>
                              <w:t xml:space="preserve">El Acta de Vacunación </w:t>
                            </w:r>
                            <w:r w:rsidR="00B5283E">
                              <w:t>constituye un documento, teniendo la misma carácter de Declaración Jurada</w:t>
                            </w:r>
                            <w:r w:rsidR="005900C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516B" id="_x0000_s1028" type="#_x0000_t202" style="position:absolute;margin-left:33.45pt;margin-top:.75pt;width:373.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">
                <v:textbox>
                  <w:txbxContent>
                    <w:p w14:paraId="58D2CE83" w14:textId="6F202F59" w:rsidR="00B23E66" w:rsidRDefault="00B23E66" w:rsidP="00E608F8">
                      <w:pPr>
                        <w:jc w:val="center"/>
                      </w:pPr>
                      <w:r>
                        <w:t xml:space="preserve">El Acta de Vacunación </w:t>
                      </w:r>
                      <w:r w:rsidR="00B5283E">
                        <w:t>constituye un documento, teniendo la misma carácter de Declaración Jurada</w:t>
                      </w:r>
                      <w:r w:rsidR="005900C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84D22D4" w14:textId="77777777" w:rsidR="004875B1" w:rsidRPr="004875B1" w:rsidRDefault="004875B1" w:rsidP="00E608F8">
      <w:pPr>
        <w:rPr>
          <w:rFonts w:ascii="Verdana" w:hAnsi="Verdana"/>
          <w:sz w:val="20"/>
        </w:rPr>
      </w:pPr>
    </w:p>
    <w:p w14:paraId="31329C32" w14:textId="77777777" w:rsidR="006D65C4" w:rsidRDefault="004875B1" w:rsidP="00E608F8">
      <w:pPr>
        <w:jc w:val="center"/>
        <w:rPr>
          <w:rFonts w:ascii="Verdana" w:hAnsi="Verdana"/>
          <w:sz w:val="20"/>
        </w:rPr>
      </w:pPr>
      <w:r w:rsidRPr="004875B1">
        <w:rPr>
          <w:rFonts w:ascii="Verdana" w:hAnsi="Verdana"/>
          <w:noProof/>
          <w:sz w:val="20"/>
          <w:lang w:eastAsia="es-AR"/>
        </w:rPr>
        <w:lastRenderedPageBreak/>
        <w:drawing>
          <wp:inline distT="0" distB="0" distL="0" distR="0" wp14:anchorId="07B35DE0" wp14:editId="07251DF7">
            <wp:extent cx="3244215" cy="4874260"/>
            <wp:effectExtent l="0" t="0" r="0" b="2540"/>
            <wp:docPr id="5" name="Imagen 5" descr="C:\Users\msowul\Desktop\Acta aft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wul\Desktop\Acta afto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1D04" w14:textId="77777777" w:rsidR="00E608F8" w:rsidRDefault="00E608F8" w:rsidP="00E608F8">
      <w:pPr>
        <w:jc w:val="center"/>
        <w:rPr>
          <w:rFonts w:ascii="Verdana" w:hAnsi="Verdana"/>
          <w:sz w:val="16"/>
          <w:szCs w:val="18"/>
        </w:rPr>
      </w:pPr>
    </w:p>
    <w:p w14:paraId="620F332C" w14:textId="3148401B" w:rsidR="00E608F8" w:rsidRPr="00E608F8" w:rsidRDefault="00E608F8" w:rsidP="00E608F8">
      <w:pPr>
        <w:jc w:val="center"/>
        <w:rPr>
          <w:rFonts w:ascii="Verdana" w:hAnsi="Verdana"/>
          <w:sz w:val="16"/>
          <w:szCs w:val="18"/>
        </w:rPr>
      </w:pPr>
      <w:r w:rsidRPr="00E608F8">
        <w:rPr>
          <w:rFonts w:ascii="Verdana" w:hAnsi="Verdana"/>
          <w:b/>
          <w:bCs/>
          <w:sz w:val="16"/>
          <w:szCs w:val="18"/>
        </w:rPr>
        <w:t>Figura N°2.</w:t>
      </w:r>
      <w:r w:rsidRPr="00E608F8">
        <w:rPr>
          <w:rFonts w:ascii="Verdana" w:hAnsi="Verdana"/>
          <w:sz w:val="16"/>
          <w:szCs w:val="18"/>
        </w:rPr>
        <w:t xml:space="preserve"> Modelo de acta de vacunación</w:t>
      </w:r>
    </w:p>
    <w:sectPr w:rsidR="00E608F8" w:rsidRPr="00E608F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616F" w14:textId="77777777" w:rsidR="009E1A34" w:rsidRDefault="009E1A34" w:rsidP="00913134">
      <w:pPr>
        <w:spacing w:after="0" w:line="240" w:lineRule="auto"/>
      </w:pPr>
      <w:r>
        <w:separator/>
      </w:r>
    </w:p>
  </w:endnote>
  <w:endnote w:type="continuationSeparator" w:id="0">
    <w:p w14:paraId="739DB359" w14:textId="77777777" w:rsidR="009E1A34" w:rsidRDefault="009E1A34" w:rsidP="0091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026B" w14:textId="00244C71" w:rsidR="00E608F8" w:rsidRDefault="00E608F8" w:rsidP="00E608F8">
    <w:pPr>
      <w:pStyle w:val="Piedepgina"/>
      <w:jc w:val="center"/>
    </w:pPr>
    <w:r w:rsidRPr="00444B55">
      <w:rPr>
        <w:noProof/>
        <w:lang w:eastAsia="es-AR"/>
      </w:rPr>
      <w:drawing>
        <wp:inline distT="0" distB="0" distL="0" distR="0" wp14:anchorId="212C2F4B" wp14:editId="1B6B5839">
          <wp:extent cx="1009650" cy="247650"/>
          <wp:effectExtent l="0" t="0" r="0" b="0"/>
          <wp:docPr id="1924909540" name="Imagen 4" descr="Imagen que contiene vajilla, plato, dibujo, taz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magen que contiene vajilla, plato, dibujo, taz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8DCA" w14:textId="77777777" w:rsidR="009E1A34" w:rsidRDefault="009E1A34" w:rsidP="00913134">
      <w:pPr>
        <w:spacing w:after="0" w:line="240" w:lineRule="auto"/>
      </w:pPr>
      <w:r>
        <w:separator/>
      </w:r>
    </w:p>
  </w:footnote>
  <w:footnote w:type="continuationSeparator" w:id="0">
    <w:p w14:paraId="4763DE19" w14:textId="77777777" w:rsidR="009E1A34" w:rsidRDefault="009E1A34" w:rsidP="0091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2F0E"/>
    <w:multiLevelType w:val="hybridMultilevel"/>
    <w:tmpl w:val="1BF03FE6"/>
    <w:lvl w:ilvl="0" w:tplc="DE1096E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421A2B"/>
    <w:multiLevelType w:val="hybridMultilevel"/>
    <w:tmpl w:val="8AE88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5643"/>
    <w:multiLevelType w:val="hybridMultilevel"/>
    <w:tmpl w:val="EA4AA7D2"/>
    <w:lvl w:ilvl="0" w:tplc="0DE68F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792057">
    <w:abstractNumId w:val="1"/>
  </w:num>
  <w:num w:numId="2" w16cid:durableId="215048129">
    <w:abstractNumId w:val="2"/>
  </w:num>
  <w:num w:numId="3" w16cid:durableId="86968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3E"/>
    <w:rsid w:val="000869F6"/>
    <w:rsid w:val="00090C2B"/>
    <w:rsid w:val="000C66DC"/>
    <w:rsid w:val="000D03F4"/>
    <w:rsid w:val="00126CD1"/>
    <w:rsid w:val="00250FE1"/>
    <w:rsid w:val="0026013E"/>
    <w:rsid w:val="003B0E32"/>
    <w:rsid w:val="00407360"/>
    <w:rsid w:val="004875B1"/>
    <w:rsid w:val="004A62E5"/>
    <w:rsid w:val="004B5028"/>
    <w:rsid w:val="004F368C"/>
    <w:rsid w:val="005900CB"/>
    <w:rsid w:val="005E23AF"/>
    <w:rsid w:val="00606734"/>
    <w:rsid w:val="00622DEA"/>
    <w:rsid w:val="00653B1C"/>
    <w:rsid w:val="006D65C4"/>
    <w:rsid w:val="00712D36"/>
    <w:rsid w:val="00737543"/>
    <w:rsid w:val="00767797"/>
    <w:rsid w:val="007E0B78"/>
    <w:rsid w:val="007F1777"/>
    <w:rsid w:val="00816E1A"/>
    <w:rsid w:val="00822D96"/>
    <w:rsid w:val="00862E44"/>
    <w:rsid w:val="00913134"/>
    <w:rsid w:val="00925957"/>
    <w:rsid w:val="009E1A34"/>
    <w:rsid w:val="00A307FF"/>
    <w:rsid w:val="00A34808"/>
    <w:rsid w:val="00A67E84"/>
    <w:rsid w:val="00AF6852"/>
    <w:rsid w:val="00B23E66"/>
    <w:rsid w:val="00B5283E"/>
    <w:rsid w:val="00B64957"/>
    <w:rsid w:val="00BA64C0"/>
    <w:rsid w:val="00C17935"/>
    <w:rsid w:val="00C77EB0"/>
    <w:rsid w:val="00D821FB"/>
    <w:rsid w:val="00DD4881"/>
    <w:rsid w:val="00DE6A49"/>
    <w:rsid w:val="00DF36BA"/>
    <w:rsid w:val="00E30DC0"/>
    <w:rsid w:val="00E51D81"/>
    <w:rsid w:val="00E608F8"/>
    <w:rsid w:val="00E812D4"/>
    <w:rsid w:val="00EC5D24"/>
    <w:rsid w:val="00ED7630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1570"/>
  <w15:docId w15:val="{90DCB282-2732-4D6C-BA96-9171901D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8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13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134"/>
  </w:style>
  <w:style w:type="paragraph" w:styleId="Piedepgina">
    <w:name w:val="footer"/>
    <w:basedOn w:val="Normal"/>
    <w:link w:val="PiedepginaCar"/>
    <w:uiPriority w:val="99"/>
    <w:unhideWhenUsed/>
    <w:rsid w:val="00913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BECD-A562-48CA-8381-A5962854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Sowul</dc:creator>
  <cp:lastModifiedBy>CIANO SANTIAGO</cp:lastModifiedBy>
  <cp:revision>3</cp:revision>
  <dcterms:created xsi:type="dcterms:W3CDTF">2024-07-11T12:45:00Z</dcterms:created>
  <dcterms:modified xsi:type="dcterms:W3CDTF">2024-07-11T12:45:00Z</dcterms:modified>
</cp:coreProperties>
</file>